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53C5C">
      <w:pPr>
        <w:jc w:val="center"/>
        <w:rPr>
          <w:rFonts w:hint="eastAsia" w:ascii="黑体" w:hAnsi="黑体" w:eastAsia="黑体" w:cs="黑体"/>
          <w:sz w:val="32"/>
          <w:szCs w:val="32"/>
          <w:lang w:eastAsia="zh-CN"/>
        </w:rPr>
      </w:pPr>
    </w:p>
    <w:p w14:paraId="15FFAF62">
      <w:pPr>
        <w:jc w:val="center"/>
        <w:rPr>
          <w:rFonts w:hint="eastAsia" w:ascii="黑体" w:hAnsi="黑体" w:eastAsia="黑体" w:cs="黑体"/>
          <w:sz w:val="32"/>
          <w:szCs w:val="32"/>
          <w:lang w:eastAsia="zh-CN"/>
        </w:rPr>
      </w:pPr>
    </w:p>
    <w:p w14:paraId="786119B2">
      <w:pPr>
        <w:jc w:val="center"/>
        <w:rPr>
          <w:rFonts w:hint="eastAsia" w:ascii="黑体" w:hAnsi="黑体" w:eastAsia="黑体" w:cs="黑体"/>
          <w:sz w:val="32"/>
          <w:szCs w:val="32"/>
          <w:lang w:eastAsia="zh-CN"/>
        </w:rPr>
      </w:pPr>
    </w:p>
    <w:p w14:paraId="1B7E6FAA">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14:paraId="4DFCBB13">
      <w:pPr>
        <w:pStyle w:val="8"/>
        <w:rPr>
          <w:rFonts w:hint="eastAsia" w:ascii="黑体" w:hAnsi="黑体" w:eastAsia="黑体" w:cs="黑体"/>
          <w:lang w:eastAsia="zh-CN"/>
        </w:rPr>
      </w:pPr>
    </w:p>
    <w:p w14:paraId="473B5FD5">
      <w:pPr>
        <w:jc w:val="center"/>
        <w:rPr>
          <w:rFonts w:hint="eastAsia" w:ascii="黑体" w:hAnsi="黑体" w:eastAsia="黑体" w:cs="黑体"/>
          <w:sz w:val="32"/>
          <w:szCs w:val="32"/>
          <w:lang w:eastAsia="zh-CN"/>
        </w:rPr>
      </w:pPr>
      <w:r>
        <w:rPr>
          <w:rFonts w:hint="eastAsia" w:ascii="黑体" w:hAnsi="黑体" w:eastAsia="黑体" w:cs="黑体"/>
          <w:color w:val="auto"/>
          <w:sz w:val="52"/>
          <w:szCs w:val="52"/>
          <w:lang w:val="en-US" w:eastAsia="zh-CN"/>
        </w:rPr>
        <w:t>采购</w:t>
      </w:r>
      <w:r>
        <w:rPr>
          <w:rFonts w:hint="eastAsia" w:ascii="黑体" w:hAnsi="黑体" w:eastAsia="黑体" w:cs="黑体"/>
          <w:sz w:val="52"/>
          <w:szCs w:val="52"/>
          <w:lang w:eastAsia="zh-CN"/>
        </w:rPr>
        <w:t>文件</w:t>
      </w:r>
    </w:p>
    <w:p w14:paraId="614EA751">
      <w:pPr>
        <w:jc w:val="center"/>
        <w:rPr>
          <w:rFonts w:hint="eastAsia" w:ascii="黑体" w:hAnsi="黑体" w:eastAsia="黑体" w:cs="黑体"/>
          <w:sz w:val="32"/>
          <w:szCs w:val="32"/>
          <w:lang w:eastAsia="zh-CN"/>
        </w:rPr>
      </w:pPr>
    </w:p>
    <w:p w14:paraId="0DAEED98">
      <w:pPr>
        <w:jc w:val="center"/>
        <w:rPr>
          <w:rFonts w:hint="eastAsia" w:ascii="黑体" w:hAnsi="黑体" w:eastAsia="黑体" w:cs="黑体"/>
          <w:sz w:val="32"/>
          <w:szCs w:val="32"/>
          <w:lang w:eastAsia="zh-CN"/>
        </w:rPr>
      </w:pPr>
    </w:p>
    <w:p w14:paraId="33B1DC66">
      <w:pPr>
        <w:pStyle w:val="9"/>
        <w:rPr>
          <w:rFonts w:hint="eastAsia" w:ascii="黑体" w:hAnsi="黑体" w:eastAsia="黑体" w:cs="黑体"/>
          <w:sz w:val="32"/>
          <w:szCs w:val="32"/>
          <w:lang w:eastAsia="zh-CN"/>
        </w:rPr>
      </w:pPr>
    </w:p>
    <w:p w14:paraId="011C7F28">
      <w:pPr>
        <w:pStyle w:val="9"/>
        <w:rPr>
          <w:rFonts w:hint="eastAsia" w:ascii="黑体" w:hAnsi="黑体" w:eastAsia="黑体" w:cs="黑体"/>
          <w:sz w:val="32"/>
          <w:szCs w:val="32"/>
          <w:lang w:eastAsia="zh-CN"/>
        </w:rPr>
      </w:pPr>
    </w:p>
    <w:p w14:paraId="0EC8C0A9">
      <w:pPr>
        <w:pStyle w:val="9"/>
        <w:rPr>
          <w:rFonts w:hint="eastAsia" w:ascii="黑体" w:hAnsi="黑体" w:eastAsia="黑体" w:cs="黑体"/>
          <w:sz w:val="32"/>
          <w:szCs w:val="32"/>
          <w:lang w:eastAsia="zh-CN"/>
        </w:rPr>
      </w:pPr>
    </w:p>
    <w:p w14:paraId="02379734">
      <w:pPr>
        <w:pStyle w:val="9"/>
        <w:rPr>
          <w:rFonts w:hint="eastAsia" w:ascii="黑体" w:hAnsi="黑体" w:eastAsia="黑体" w:cs="黑体"/>
          <w:sz w:val="32"/>
          <w:szCs w:val="32"/>
          <w:lang w:eastAsia="zh-CN"/>
        </w:rPr>
      </w:pPr>
    </w:p>
    <w:p w14:paraId="70F8489F">
      <w:pPr>
        <w:pStyle w:val="9"/>
        <w:rPr>
          <w:rFonts w:hint="eastAsia" w:ascii="黑体" w:hAnsi="黑体" w:eastAsia="黑体" w:cs="黑体"/>
          <w:sz w:val="40"/>
          <w:szCs w:val="40"/>
          <w:lang w:eastAsia="zh-CN"/>
        </w:rPr>
      </w:pPr>
    </w:p>
    <w:p w14:paraId="301A0E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微软雅黑" w:hAnsi="微软雅黑" w:eastAsia="宋体" w:cs="微软雅黑"/>
          <w:b/>
          <w:bCs w:val="0"/>
          <w:i w:val="0"/>
          <w:iCs w:val="0"/>
          <w:caps w:val="0"/>
          <w:color w:val="007575"/>
          <w:spacing w:val="0"/>
          <w:sz w:val="30"/>
          <w:szCs w:val="30"/>
          <w:lang w:val="en-US" w:eastAsia="zh-CN"/>
        </w:rPr>
      </w:pPr>
      <w:r>
        <w:rPr>
          <w:rFonts w:hint="eastAsia" w:ascii="黑体" w:hAnsi="黑体" w:eastAsia="黑体" w:cs="黑体"/>
          <w:b/>
          <w:bCs w:val="0"/>
          <w:sz w:val="40"/>
          <w:szCs w:val="40"/>
          <w:lang w:eastAsia="zh-CN"/>
        </w:rPr>
        <w:t>项目名称：</w:t>
      </w:r>
      <w:r>
        <w:rPr>
          <w:rFonts w:hint="eastAsia" w:ascii="黑体" w:hAnsi="黑体" w:eastAsia="黑体" w:cs="黑体"/>
          <w:b/>
          <w:bCs w:val="0"/>
          <w:sz w:val="40"/>
          <w:szCs w:val="40"/>
          <w:lang w:val="en-US" w:eastAsia="zh-CN"/>
        </w:rPr>
        <w:t>单人份化学发光仪及配套试剂采购</w:t>
      </w:r>
    </w:p>
    <w:p w14:paraId="3CE0625D">
      <w:pPr>
        <w:jc w:val="center"/>
        <w:rPr>
          <w:rFonts w:hint="default" w:ascii="黑体" w:hAnsi="黑体" w:eastAsia="黑体" w:cs="黑体"/>
          <w:sz w:val="40"/>
          <w:szCs w:val="40"/>
          <w:lang w:val="en-US" w:eastAsia="zh-CN"/>
        </w:rPr>
      </w:pPr>
    </w:p>
    <w:p w14:paraId="2F0F2931">
      <w:pPr>
        <w:pStyle w:val="8"/>
        <w:rPr>
          <w:rFonts w:hint="eastAsia" w:ascii="黑体" w:hAnsi="黑体" w:eastAsia="黑体" w:cs="黑体"/>
          <w:lang w:val="en-US" w:eastAsia="zh-CN"/>
        </w:rPr>
      </w:pPr>
    </w:p>
    <w:p w14:paraId="22CDE72D">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YNCG2024015</w:t>
      </w:r>
    </w:p>
    <w:p w14:paraId="3357497F">
      <w:pPr>
        <w:jc w:val="center"/>
        <w:rPr>
          <w:rFonts w:hint="eastAsia" w:ascii="黑体" w:hAnsi="黑体" w:eastAsia="黑体" w:cs="黑体"/>
          <w:sz w:val="40"/>
          <w:szCs w:val="40"/>
          <w:lang w:eastAsia="zh-CN"/>
        </w:rPr>
      </w:pPr>
    </w:p>
    <w:p w14:paraId="3C3D3E98">
      <w:pPr>
        <w:jc w:val="center"/>
        <w:rPr>
          <w:rFonts w:hint="eastAsia" w:ascii="黑体" w:hAnsi="黑体" w:eastAsia="黑体" w:cs="黑体"/>
          <w:sz w:val="40"/>
          <w:szCs w:val="40"/>
          <w:lang w:eastAsia="zh-CN"/>
        </w:rPr>
      </w:pPr>
    </w:p>
    <w:p w14:paraId="114B1824">
      <w:pPr>
        <w:jc w:val="center"/>
        <w:rPr>
          <w:rFonts w:hint="eastAsia" w:ascii="黑体" w:hAnsi="黑体" w:eastAsia="黑体" w:cs="黑体"/>
          <w:sz w:val="40"/>
          <w:szCs w:val="40"/>
          <w:lang w:eastAsia="zh-CN"/>
        </w:rPr>
      </w:pPr>
    </w:p>
    <w:p w14:paraId="16354382">
      <w:pPr>
        <w:jc w:val="center"/>
        <w:rPr>
          <w:rFonts w:hint="eastAsia" w:ascii="黑体" w:hAnsi="黑体" w:eastAsia="黑体" w:cs="黑体"/>
          <w:sz w:val="40"/>
          <w:szCs w:val="40"/>
          <w:lang w:eastAsia="zh-CN"/>
        </w:rPr>
      </w:pPr>
    </w:p>
    <w:p w14:paraId="6207208E">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14:paraId="6E5072DF">
      <w:pPr>
        <w:jc w:val="center"/>
        <w:rPr>
          <w:rFonts w:hint="eastAsia" w:ascii="黑体" w:hAnsi="黑体" w:eastAsia="黑体" w:cs="黑体"/>
          <w:sz w:val="40"/>
          <w:szCs w:val="40"/>
          <w:lang w:val="en-US" w:eastAsia="zh-CN"/>
        </w:rPr>
        <w:sectPr>
          <w:headerReference r:id="rId4"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pPr>
      <w:r>
        <w:rPr>
          <w:rFonts w:hint="eastAsia" w:ascii="黑体" w:hAnsi="黑体" w:eastAsia="黑体" w:cs="黑体"/>
          <w:sz w:val="40"/>
          <w:szCs w:val="40"/>
          <w:lang w:val="en-US" w:eastAsia="zh-CN"/>
        </w:rPr>
        <w:t>2024年 11月</w:t>
      </w:r>
    </w:p>
    <w:p w14:paraId="170A8539">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乐山市五通桥区人民医院院内</w:t>
      </w:r>
      <w:r>
        <w:rPr>
          <w:rFonts w:hint="eastAsia" w:ascii="黑体" w:hAnsi="黑体" w:eastAsia="黑体" w:cs="黑体"/>
          <w:color w:val="auto"/>
          <w:sz w:val="36"/>
          <w:szCs w:val="36"/>
          <w:lang w:eastAsia="zh-CN"/>
        </w:rPr>
        <w:t>询价</w:t>
      </w:r>
      <w:r>
        <w:rPr>
          <w:rFonts w:hint="eastAsia" w:ascii="黑体" w:hAnsi="黑体" w:eastAsia="黑体" w:cs="黑体"/>
          <w:sz w:val="36"/>
          <w:szCs w:val="36"/>
          <w:lang w:eastAsia="zh-CN"/>
        </w:rPr>
        <w:t>采购公告</w:t>
      </w:r>
    </w:p>
    <w:p w14:paraId="47412451">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14:paraId="50C489EB">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项目采购编号：</w:t>
      </w:r>
      <w:r>
        <w:rPr>
          <w:rFonts w:hint="eastAsia" w:ascii="仿宋" w:hAnsi="仿宋" w:eastAsia="仿宋" w:cs="仿宋"/>
          <w:color w:val="auto"/>
          <w:kern w:val="0"/>
          <w:sz w:val="32"/>
          <w:szCs w:val="32"/>
          <w:lang w:val="en-US" w:eastAsia="zh-CN"/>
        </w:rPr>
        <w:t>YNCG2024015，项目包数量：1个。</w:t>
      </w:r>
    </w:p>
    <w:p w14:paraId="607C8EF0">
      <w:pPr>
        <w:pStyle w:val="17"/>
        <w:keepNext w:val="0"/>
        <w:keepLines w:val="0"/>
        <w:pageBreakBefore w:val="0"/>
        <w:kinsoku/>
        <w:wordWrap/>
        <w:overflowPunct/>
        <w:topLinePunct w:val="0"/>
        <w:autoSpaceDE/>
        <w:autoSpaceDN/>
        <w:bidi w:val="0"/>
        <w:adjustRightInd/>
        <w:snapToGrid/>
        <w:spacing w:after="0" w:afterLines="0" w:line="240" w:lineRule="auto"/>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 xml:space="preserve">  二、项目背景：我院检验科对单人份化学发光仪及配套试剂[</w:t>
      </w:r>
      <w:r>
        <w:rPr>
          <w:rFonts w:hint="eastAsia" w:ascii="仿宋" w:hAnsi="仿宋" w:eastAsia="仿宋" w:cs="仿宋"/>
          <w:color w:val="auto"/>
          <w:sz w:val="32"/>
          <w:szCs w:val="32"/>
          <w:lang w:val="en-US" w:eastAsia="zh-CN"/>
        </w:rPr>
        <w:t>N末端脑利钠肽前体（Nt-proBNP）试剂盒]进行采购。</w:t>
      </w:r>
    </w:p>
    <w:p w14:paraId="2A3ABB4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三、采购项目内容。（详细内容及要求请看附件）</w:t>
      </w:r>
    </w:p>
    <w:p w14:paraId="60DDCE0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四、参加采购的供应商数量：三家及以上；在乐山市五通桥区人民医院官方网站上发布公告（https://www.wtqqrmyy.cn/）；本项目若有补遗或更正公告会在官网上发布，请参加采购的供应商随时关注；若因以上原因造成的损失由供应商自行负责。</w:t>
      </w:r>
    </w:p>
    <w:p w14:paraId="0D2AD827">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五、供应商参加本次采购活动提交资料中，具备以下要求：</w:t>
      </w:r>
    </w:p>
    <w:p w14:paraId="2B8C650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1.具有独立承担民事责任的能力；依法缴纳税收和社会保障资金的良好记录。</w:t>
      </w:r>
    </w:p>
    <w:p w14:paraId="7355B7B5">
      <w:pPr>
        <w:pStyle w:val="6"/>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2.具有良好的商业制度和健全的财务制度；履行合同所必须的设备和专业技术能力。</w:t>
      </w:r>
    </w:p>
    <w:p w14:paraId="00DFAB0F">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 xml:space="preserve">    3.参加本次采购活动前三年内，在经营活动中没有重大违法记录。</w:t>
      </w:r>
    </w:p>
    <w:p w14:paraId="57DE1F8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公司的营业执照（</w:t>
      </w:r>
      <w:r>
        <w:rPr>
          <w:rFonts w:hint="eastAsia" w:ascii="仿宋" w:hAnsi="仿宋" w:eastAsia="仿宋" w:cs="仿宋"/>
          <w:color w:val="auto"/>
          <w:kern w:val="0"/>
          <w:sz w:val="32"/>
          <w:szCs w:val="32"/>
          <w:lang w:eastAsia="zh-CN"/>
        </w:rPr>
        <w:t>三证合一</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复印件</w:t>
      </w:r>
      <w:r>
        <w:rPr>
          <w:rFonts w:hint="eastAsia" w:ascii="仿宋" w:hAnsi="仿宋" w:eastAsia="仿宋" w:cs="仿宋"/>
          <w:color w:val="auto"/>
          <w:kern w:val="0"/>
          <w:sz w:val="32"/>
          <w:szCs w:val="32"/>
        </w:rPr>
        <w:t>加盖鲜章</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法定代表人授权委托书（法定代表人参与的须提供法定代表人证明书）</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法定代表人和授权代表的身份证</w:t>
      </w:r>
      <w:r>
        <w:rPr>
          <w:rFonts w:hint="eastAsia" w:ascii="仿宋" w:hAnsi="仿宋" w:eastAsia="仿宋" w:cs="仿宋"/>
          <w:color w:val="auto"/>
          <w:kern w:val="0"/>
          <w:sz w:val="32"/>
          <w:szCs w:val="32"/>
          <w:lang w:eastAsia="zh-CN"/>
        </w:rPr>
        <w:t>。</w:t>
      </w:r>
    </w:p>
    <w:p w14:paraId="3152339D">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5.报价以及资料，采购响应文件封面请注明项目名称、联系人、联系电话、自行密封并加盖公章。</w:t>
      </w:r>
    </w:p>
    <w:p w14:paraId="543159D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以上资料至少2套，请满足上述资质要求的供应商于2024年11月28日17:00之前将资料送至乐山市五通桥区人民医院采购办（行政楼三楼楼梯处），在截至时间以后送到的响应文件将被拒绝并退还给供应商。</w:t>
      </w:r>
    </w:p>
    <w:p w14:paraId="6637B33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六、其他要求（参加采购的供应商视为全部接受以下条款）</w:t>
      </w:r>
    </w:p>
    <w:p w14:paraId="6CB4C32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1.方案报价在60日内有效，报价包括文件编制、差旅、人工等费用。</w:t>
      </w:r>
    </w:p>
    <w:p w14:paraId="41C1747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2.在供应商满足相关资质要求及服务要求的条件下，采购采用综合评分法，中标结果由医院网站公示，中标公司请在公示后30日内到采购办签订合同，超过公示后30日不响应签订合同的视为放弃中标资格。</w:t>
      </w:r>
    </w:p>
    <w:p w14:paraId="1AEB1A2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p>
    <w:p w14:paraId="6E4903AE">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kern w:val="0"/>
          <w:sz w:val="32"/>
          <w:szCs w:val="32"/>
        </w:rPr>
        <w:sectPr>
          <w:footerReference r:id="rId7" w:type="first"/>
          <w:footerReference r:id="rId6" w:type="default"/>
          <w:pgSz w:w="11906" w:h="16838"/>
          <w:pgMar w:top="1134" w:right="850" w:bottom="907" w:left="1134" w:header="850" w:footer="992" w:gutter="0"/>
          <w:pgBorders>
            <w:top w:val="none" w:sz="0" w:space="0"/>
            <w:left w:val="none" w:sz="0" w:space="0"/>
            <w:bottom w:val="none" w:sz="0" w:space="0"/>
            <w:right w:val="none" w:sz="0" w:space="0"/>
          </w:pgBorders>
          <w:pgNumType w:fmt="decimal" w:start="1"/>
          <w:cols w:space="0" w:num="1"/>
          <w:titlePg/>
          <w:rtlGutter w:val="0"/>
          <w:docGrid w:linePitch="360" w:charSpace="0"/>
        </w:sectPr>
      </w:pPr>
    </w:p>
    <w:p w14:paraId="6EC5B7AF">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联系人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徐</w:t>
      </w:r>
      <w:r>
        <w:rPr>
          <w:rFonts w:hint="eastAsia" w:ascii="仿宋" w:hAnsi="仿宋" w:eastAsia="仿宋" w:cs="仿宋"/>
          <w:color w:val="auto"/>
          <w:kern w:val="0"/>
          <w:sz w:val="32"/>
          <w:szCs w:val="32"/>
          <w:lang w:eastAsia="zh-CN"/>
        </w:rPr>
        <w:t>老师（</w:t>
      </w:r>
      <w:r>
        <w:rPr>
          <w:rFonts w:hint="eastAsia" w:ascii="仿宋" w:hAnsi="仿宋" w:eastAsia="仿宋" w:cs="仿宋"/>
          <w:color w:val="auto"/>
          <w:kern w:val="0"/>
          <w:sz w:val="32"/>
          <w:szCs w:val="32"/>
          <w:lang w:val="en-US" w:eastAsia="zh-CN"/>
        </w:rPr>
        <w:t>采购办</w:t>
      </w:r>
      <w:r>
        <w:rPr>
          <w:rFonts w:hint="eastAsia" w:ascii="仿宋" w:hAnsi="仿宋" w:eastAsia="仿宋" w:cs="仿宋"/>
          <w:color w:val="auto"/>
          <w:kern w:val="0"/>
          <w:sz w:val="32"/>
          <w:szCs w:val="32"/>
          <w:lang w:eastAsia="zh-CN"/>
        </w:rPr>
        <w:t>）</w:t>
      </w:r>
    </w:p>
    <w:p w14:paraId="55F3326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联系人：田老师（设备科）</w:t>
      </w:r>
    </w:p>
    <w:p w14:paraId="1217AF2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联系电话</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0833-3211269</w:t>
      </w:r>
    </w:p>
    <w:p w14:paraId="5C5FF5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ascii="仿宋" w:hAnsi="仿宋" w:eastAsia="仿宋" w:cs="仿宋"/>
          <w:color w:val="auto"/>
          <w:kern w:val="0"/>
          <w:sz w:val="32"/>
          <w:szCs w:val="32"/>
          <w:lang w:val="en-US" w:eastAsia="zh-CN"/>
        </w:rPr>
        <w:t>联系电话：0833-3358119</w:t>
      </w:r>
    </w:p>
    <w:p w14:paraId="3C78BABF">
      <w:pPr>
        <w:rPr>
          <w:rFonts w:hint="eastAsia" w:ascii="黑体" w:hAnsi="黑体" w:eastAsia="黑体" w:cs="黑体"/>
          <w:b/>
          <w:bCs/>
          <w:color w:val="auto"/>
          <w:sz w:val="72"/>
          <w:szCs w:val="72"/>
          <w:lang w:val="en-US" w:eastAsia="zh-CN"/>
        </w:rPr>
        <w:sectPr>
          <w:type w:val="continuous"/>
          <w:pgSz w:w="11906" w:h="16838"/>
          <w:pgMar w:top="1134" w:right="850" w:bottom="907" w:left="1134" w:header="850" w:footer="992" w:gutter="0"/>
          <w:pgBorders>
            <w:top w:val="none" w:sz="0" w:space="0"/>
            <w:left w:val="none" w:sz="0" w:space="0"/>
            <w:bottom w:val="none" w:sz="0" w:space="0"/>
            <w:right w:val="none" w:sz="0" w:space="0"/>
          </w:pgBorders>
          <w:pgNumType w:fmt="decimal"/>
          <w:cols w:equalWidth="0" w:num="2">
            <w:col w:w="4748" w:space="425"/>
            <w:col w:w="4748"/>
          </w:cols>
          <w:titlePg/>
          <w:rtlGutter w:val="0"/>
          <w:docGrid w:linePitch="360" w:charSpace="0"/>
        </w:sectPr>
      </w:pPr>
    </w:p>
    <w:p w14:paraId="1C6DCC08">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14:paraId="404C0E97">
      <w:pPr>
        <w:spacing w:line="300" w:lineRule="exact"/>
        <w:jc w:val="center"/>
        <w:rPr>
          <w:rFonts w:hint="eastAsia" w:ascii="仿宋" w:hAnsi="仿宋" w:eastAsia="仿宋" w:cs="仿宋"/>
          <w:b/>
          <w:sz w:val="32"/>
          <w:szCs w:val="32"/>
          <w:lang w:eastAsia="zh-CN"/>
        </w:rPr>
      </w:pPr>
    </w:p>
    <w:p w14:paraId="47D77EAA">
      <w:pPr>
        <w:pStyle w:val="6"/>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14:paraId="216A3931">
      <w:pPr>
        <w:pStyle w:val="32"/>
        <w:spacing w:line="240" w:lineRule="auto"/>
        <w:rPr>
          <w:rFonts w:hint="eastAsia"/>
          <w:lang w:eastAsia="zh-CN"/>
        </w:rPr>
      </w:pPr>
    </w:p>
    <w:p w14:paraId="30946B1D">
      <w:pPr>
        <w:spacing w:line="240" w:lineRule="auto"/>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一、院内采购总则</w:t>
      </w:r>
    </w:p>
    <w:p w14:paraId="674CED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本</w:t>
      </w:r>
      <w:r>
        <w:rPr>
          <w:rFonts w:hint="default" w:ascii="Times New Roman" w:hAnsi="Times New Roman" w:eastAsia="仿宋" w:cs="Times New Roman"/>
          <w:sz w:val="32"/>
          <w:szCs w:val="32"/>
          <w:lang w:val="en-US" w:eastAsia="zh-CN"/>
        </w:rPr>
        <w:t>采购</w:t>
      </w:r>
      <w:r>
        <w:rPr>
          <w:rFonts w:hint="default" w:ascii="Times New Roman" w:hAnsi="Times New Roman" w:eastAsia="仿宋" w:cs="Times New Roman"/>
          <w:sz w:val="32"/>
          <w:szCs w:val="32"/>
        </w:rPr>
        <w:t>项目参照《中华人民共和国政府采购法》《四川省政府采购非招标采购方式实施办法》等有关法律、法规和规章，通</w:t>
      </w:r>
      <w:r>
        <w:rPr>
          <w:rFonts w:hint="default" w:ascii="Times New Roman" w:hAnsi="Times New Roman" w:eastAsia="仿宋" w:cs="Times New Roman"/>
          <w:color w:val="auto"/>
          <w:sz w:val="32"/>
          <w:szCs w:val="32"/>
        </w:rPr>
        <w:t>过</w:t>
      </w:r>
      <w:r>
        <w:rPr>
          <w:rFonts w:hint="default" w:ascii="Times New Roman" w:hAnsi="Times New Roman" w:eastAsia="仿宋" w:cs="Times New Roman"/>
          <w:color w:val="auto"/>
          <w:sz w:val="32"/>
          <w:szCs w:val="32"/>
          <w:lang w:val="en-US" w:eastAsia="zh-CN"/>
        </w:rPr>
        <w:t>综合评分</w:t>
      </w:r>
      <w:r>
        <w:rPr>
          <w:rFonts w:hint="default"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rPr>
        <w:t>方式确定成交供应商。</w:t>
      </w:r>
    </w:p>
    <w:p w14:paraId="3828E6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本项目</w:t>
      </w:r>
      <w:r>
        <w:rPr>
          <w:rFonts w:hint="default" w:ascii="Times New Roman" w:hAnsi="Times New Roman" w:eastAsia="仿宋" w:cs="Times New Roman"/>
          <w:sz w:val="32"/>
          <w:szCs w:val="32"/>
          <w:lang w:eastAsia="zh-CN"/>
        </w:rPr>
        <w:t>采购</w:t>
      </w:r>
      <w:r>
        <w:rPr>
          <w:rFonts w:hint="default" w:ascii="Times New Roman" w:hAnsi="Times New Roman" w:eastAsia="仿宋" w:cs="Times New Roman"/>
          <w:sz w:val="32"/>
          <w:szCs w:val="32"/>
        </w:rPr>
        <w:t>范围包括价格、质量、服务等方面内容，交货时间在合同中约定。</w:t>
      </w:r>
    </w:p>
    <w:p w14:paraId="261C33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本采购项目最低要求：符合资质条件、技术参数及商务要求且报价不超过最高限价。</w:t>
      </w:r>
    </w:p>
    <w:p w14:paraId="157AC4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供应商自行承担本项目</w:t>
      </w:r>
      <w:r>
        <w:rPr>
          <w:rFonts w:hint="default" w:ascii="Times New Roman" w:hAnsi="Times New Roman" w:eastAsia="仿宋" w:cs="Times New Roman"/>
          <w:sz w:val="32"/>
          <w:szCs w:val="32"/>
          <w:lang w:val="en-US" w:eastAsia="zh-CN"/>
        </w:rPr>
        <w:t>采购</w:t>
      </w:r>
      <w:r>
        <w:rPr>
          <w:rFonts w:hint="default" w:ascii="Times New Roman" w:hAnsi="Times New Roman" w:eastAsia="仿宋" w:cs="Times New Roman"/>
          <w:sz w:val="32"/>
          <w:szCs w:val="32"/>
        </w:rPr>
        <w:t>活动所发生</w:t>
      </w:r>
      <w:r>
        <w:rPr>
          <w:rFonts w:hint="default" w:ascii="Times New Roman" w:hAnsi="Times New Roman" w:eastAsia="仿宋" w:cs="Times New Roman"/>
          <w:sz w:val="32"/>
          <w:szCs w:val="32"/>
          <w:lang w:eastAsia="zh-CN"/>
        </w:rPr>
        <w:t>现场踏勘、标书制作等</w:t>
      </w:r>
      <w:r>
        <w:rPr>
          <w:rFonts w:hint="default" w:ascii="Times New Roman" w:hAnsi="Times New Roman" w:eastAsia="仿宋" w:cs="Times New Roman"/>
          <w:sz w:val="32"/>
          <w:szCs w:val="32"/>
        </w:rPr>
        <w:t>费用。</w:t>
      </w:r>
    </w:p>
    <w:p w14:paraId="7F4925F7">
      <w:pPr>
        <w:keepNext w:val="0"/>
        <w:keepLines w:val="0"/>
        <w:pageBreakBefore w:val="0"/>
        <w:widowControl w:val="0"/>
        <w:kinsoku/>
        <w:wordWrap/>
        <w:overflowPunct/>
        <w:topLinePunct w:val="0"/>
        <w:autoSpaceDE/>
        <w:autoSpaceDN/>
        <w:bidi w:val="0"/>
        <w:adjustRightInd/>
        <w:snapToGrid/>
        <w:spacing w:before="361" w:beforeLines="10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采购</w:t>
      </w:r>
      <w:r>
        <w:rPr>
          <w:rFonts w:hint="eastAsia" w:ascii="黑体" w:hAnsi="黑体" w:eastAsia="黑体" w:cs="黑体"/>
          <w:b w:val="0"/>
          <w:bCs w:val="0"/>
          <w:sz w:val="32"/>
          <w:szCs w:val="32"/>
        </w:rPr>
        <w:t>响应文件的编制</w:t>
      </w:r>
    </w:p>
    <w:p w14:paraId="082198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eastAsia="zh-CN"/>
        </w:rPr>
        <w:t>采购</w:t>
      </w:r>
      <w:r>
        <w:rPr>
          <w:rFonts w:hint="default" w:ascii="Times New Roman" w:hAnsi="Times New Roman" w:eastAsia="仿宋" w:cs="Times New Roman"/>
          <w:sz w:val="32"/>
          <w:szCs w:val="32"/>
        </w:rPr>
        <w:t>响应文件的密封：须提供标书一份，密封于一个包装袋内，</w:t>
      </w:r>
      <w:r>
        <w:rPr>
          <w:rFonts w:hint="default" w:ascii="Times New Roman" w:hAnsi="Times New Roman" w:eastAsia="仿宋" w:cs="Times New Roman"/>
          <w:color w:val="auto"/>
          <w:sz w:val="32"/>
          <w:szCs w:val="32"/>
        </w:rPr>
        <w:t>封口处加盖单位鲜章，封面须注明：“项目名称：</w:t>
      </w:r>
      <w:r>
        <w:rPr>
          <w:rFonts w:hint="default" w:ascii="Times New Roman" w:hAnsi="Times New Roman" w:eastAsia="仿宋" w:cs="Times New Roman"/>
          <w:color w:val="auto"/>
          <w:sz w:val="32"/>
          <w:szCs w:val="32"/>
          <w:lang w:val="en-US" w:eastAsia="zh-CN"/>
        </w:rPr>
        <w:t>单人份化学发光仪及配套试剂采购</w:t>
      </w:r>
      <w:r>
        <w:rPr>
          <w:rFonts w:hint="default" w:ascii="Times New Roman" w:hAnsi="Times New Roman" w:eastAsia="仿宋" w:cs="Times New Roman"/>
          <w:color w:val="auto"/>
          <w:sz w:val="32"/>
          <w:szCs w:val="32"/>
        </w:rPr>
        <w:t>”，“项目编号：</w:t>
      </w:r>
      <w:r>
        <w:rPr>
          <w:rFonts w:hint="default" w:ascii="Times New Roman" w:hAnsi="Times New Roman" w:eastAsia="仿宋" w:cs="Times New Roman"/>
          <w:color w:val="auto"/>
          <w:kern w:val="0"/>
          <w:sz w:val="32"/>
          <w:szCs w:val="32"/>
          <w:lang w:val="en-US" w:eastAsia="zh-CN"/>
        </w:rPr>
        <w:t>YNCG2024015</w:t>
      </w:r>
      <w:r>
        <w:rPr>
          <w:rFonts w:hint="default" w:ascii="Times New Roman" w:hAnsi="Times New Roman" w:eastAsia="仿宋" w:cs="Times New Roman"/>
          <w:color w:val="auto"/>
          <w:sz w:val="32"/>
          <w:szCs w:val="32"/>
        </w:rPr>
        <w:t xml:space="preserve"> ”，“询价响应文件”，</w:t>
      </w:r>
      <w:r>
        <w:rPr>
          <w:rFonts w:hint="default" w:ascii="Times New Roman" w:hAnsi="Times New Roman" w:eastAsia="仿宋" w:cs="Times New Roman"/>
          <w:sz w:val="32"/>
          <w:szCs w:val="32"/>
        </w:rPr>
        <w:t>“</w:t>
      </w:r>
      <w:r>
        <w:rPr>
          <w:rFonts w:hint="default" w:ascii="Times New Roman" w:hAnsi="Times New Roman" w:eastAsia="仿宋" w:cs="Times New Roman"/>
          <w:color w:val="auto"/>
          <w:sz w:val="32"/>
          <w:szCs w:val="32"/>
        </w:rPr>
        <w:t>于</w:t>
      </w:r>
      <w:r>
        <w:rPr>
          <w:rFonts w:hint="default" w:ascii="Times New Roman" w:hAnsi="Times New Roman" w:eastAsia="仿宋" w:cs="Times New Roman"/>
          <w:color w:val="auto"/>
          <w:sz w:val="32"/>
          <w:szCs w:val="32"/>
          <w:lang w:val="en-US" w:eastAsia="zh-CN"/>
        </w:rPr>
        <w:t>2024</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lang w:val="en-US" w:eastAsia="zh-CN"/>
        </w:rPr>
        <w:t>11</w:t>
      </w:r>
      <w:r>
        <w:rPr>
          <w:rFonts w:hint="default" w:ascii="Times New Roman" w:hAnsi="Times New Roman" w:eastAsia="仿宋" w:cs="Times New Roman"/>
          <w:color w:val="auto"/>
          <w:sz w:val="32"/>
          <w:szCs w:val="32"/>
        </w:rPr>
        <w:t>月</w:t>
      </w:r>
      <w:r>
        <w:rPr>
          <w:rFonts w:hint="eastAsia" w:ascii="Times New Roman" w:hAnsi="Times New Roman" w:eastAsia="仿宋" w:cs="Times New Roman"/>
          <w:color w:val="auto"/>
          <w:sz w:val="32"/>
          <w:szCs w:val="32"/>
          <w:lang w:val="en-US" w:eastAsia="zh-CN"/>
        </w:rPr>
        <w:t>28</w:t>
      </w:r>
      <w:r>
        <w:rPr>
          <w:rFonts w:hint="default" w:ascii="Times New Roman" w:hAnsi="Times New Roman" w:eastAsia="仿宋" w:cs="Times New Roman"/>
          <w:color w:val="auto"/>
          <w:sz w:val="32"/>
          <w:szCs w:val="32"/>
        </w:rPr>
        <w:t>日</w:t>
      </w:r>
      <w:r>
        <w:rPr>
          <w:rFonts w:hint="default" w:ascii="Times New Roman" w:hAnsi="Times New Roman" w:eastAsia="仿宋" w:cs="Times New Roman"/>
          <w:color w:val="auto"/>
          <w:sz w:val="32"/>
          <w:szCs w:val="32"/>
          <w:lang w:val="en-US" w:eastAsia="zh-CN"/>
        </w:rPr>
        <w:t>17</w:t>
      </w:r>
      <w:r>
        <w:rPr>
          <w:rFonts w:hint="default" w:ascii="Times New Roman" w:hAnsi="Times New Roman" w:eastAsia="仿宋" w:cs="Times New Roman"/>
          <w:color w:val="auto"/>
          <w:sz w:val="32"/>
          <w:szCs w:val="32"/>
        </w:rPr>
        <w:t>时</w:t>
      </w:r>
      <w:r>
        <w:rPr>
          <w:rFonts w:hint="default" w:ascii="Times New Roman" w:hAnsi="Times New Roman" w:eastAsia="仿宋" w:cs="Times New Roman"/>
          <w:color w:val="auto"/>
          <w:sz w:val="32"/>
          <w:szCs w:val="32"/>
          <w:lang w:val="en-US" w:eastAsia="zh-CN"/>
        </w:rPr>
        <w:t>00</w:t>
      </w:r>
      <w:r>
        <w:rPr>
          <w:rFonts w:hint="default" w:ascii="Times New Roman" w:hAnsi="Times New Roman" w:eastAsia="仿宋" w:cs="Times New Roman"/>
          <w:color w:val="auto"/>
          <w:sz w:val="32"/>
          <w:szCs w:val="32"/>
        </w:rPr>
        <w:t xml:space="preserve"> 分前不得拆封”等字样</w:t>
      </w:r>
      <w:bookmarkStart w:id="16" w:name="_GoBack"/>
      <w:bookmarkEnd w:id="16"/>
      <w:r>
        <w:rPr>
          <w:rFonts w:hint="default" w:ascii="Times New Roman" w:hAnsi="Times New Roman" w:eastAsia="仿宋" w:cs="Times New Roman"/>
          <w:color w:val="auto"/>
          <w:sz w:val="32"/>
          <w:szCs w:val="32"/>
        </w:rPr>
        <w:t>。未按询价文件要</w:t>
      </w:r>
      <w:r>
        <w:rPr>
          <w:rFonts w:hint="default" w:ascii="Times New Roman" w:hAnsi="Times New Roman" w:eastAsia="仿宋" w:cs="Times New Roman"/>
          <w:sz w:val="32"/>
          <w:szCs w:val="32"/>
        </w:rPr>
        <w:t>求密封的响应文件将被拒收。</w:t>
      </w:r>
    </w:p>
    <w:p w14:paraId="3E1EB8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eastAsia="zh-CN"/>
        </w:rPr>
        <w:t>采购</w:t>
      </w:r>
      <w:r>
        <w:rPr>
          <w:rFonts w:hint="default" w:ascii="Times New Roman" w:hAnsi="Times New Roman" w:eastAsia="仿宋" w:cs="Times New Roman"/>
          <w:sz w:val="32"/>
          <w:szCs w:val="32"/>
        </w:rPr>
        <w:t>响应文件</w:t>
      </w:r>
      <w:r>
        <w:rPr>
          <w:rFonts w:hint="default" w:ascii="Times New Roman" w:hAnsi="Times New Roman" w:eastAsia="仿宋" w:cs="Times New Roman"/>
          <w:sz w:val="32"/>
          <w:szCs w:val="32"/>
          <w:lang w:eastAsia="zh-CN"/>
        </w:rPr>
        <w:t>分正（副）本装订</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一正</w:t>
      </w:r>
      <w:r>
        <w:rPr>
          <w:rFonts w:hint="default" w:ascii="Times New Roman" w:hAnsi="Times New Roman" w:eastAsia="仿宋" w:cs="Times New Roman"/>
          <w:sz w:val="32"/>
          <w:szCs w:val="32"/>
          <w:lang w:val="en-US" w:eastAsia="zh-Hans"/>
        </w:rPr>
        <w:t>一</w:t>
      </w:r>
      <w:r>
        <w:rPr>
          <w:rFonts w:hint="default" w:ascii="Times New Roman" w:hAnsi="Times New Roman" w:eastAsia="仿宋" w:cs="Times New Roman"/>
          <w:sz w:val="32"/>
          <w:szCs w:val="32"/>
          <w:lang w:eastAsia="zh-CN"/>
        </w:rPr>
        <w:t>副，</w:t>
      </w:r>
      <w:r>
        <w:rPr>
          <w:rFonts w:hint="default" w:ascii="Times New Roman" w:hAnsi="Times New Roman" w:eastAsia="仿宋" w:cs="Times New Roman"/>
          <w:sz w:val="32"/>
          <w:szCs w:val="32"/>
        </w:rPr>
        <w:t>须用A4幅面纸张打印装订</w:t>
      </w:r>
      <w:r>
        <w:rPr>
          <w:rFonts w:hint="default" w:ascii="Times New Roman" w:hAnsi="Times New Roman" w:eastAsia="仿宋" w:cs="Times New Roman"/>
          <w:sz w:val="32"/>
          <w:szCs w:val="32"/>
          <w:lang w:eastAsia="zh-CN"/>
        </w:rPr>
        <w:t>。</w:t>
      </w:r>
    </w:p>
    <w:p w14:paraId="6BAAA6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eastAsia="zh-CN"/>
        </w:rPr>
        <w:t>采购</w:t>
      </w:r>
      <w:r>
        <w:rPr>
          <w:rFonts w:hint="default" w:ascii="Times New Roman" w:hAnsi="Times New Roman" w:eastAsia="仿宋" w:cs="Times New Roman"/>
          <w:sz w:val="32"/>
          <w:szCs w:val="32"/>
        </w:rPr>
        <w:t>响应文件的打印和书写应清楚工整，签字确认并加盖公章，否则无效。供应商为法人的，应当由其法定代表人或者代理人签字确认。</w:t>
      </w:r>
    </w:p>
    <w:p w14:paraId="3E317D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lang w:val="en-US" w:eastAsia="zh-CN"/>
        </w:rPr>
        <w:t>报价一式两份，一份装投标响应文件内，一份单独用投标信封盖章密封并注明</w:t>
      </w:r>
      <w:r>
        <w:rPr>
          <w:rFonts w:hint="eastAsia" w:ascii="Times New Roman" w:hAnsi="Times New Roman" w:eastAsia="仿宋" w:cs="Times New Roman"/>
          <w:color w:val="auto"/>
          <w:sz w:val="32"/>
          <w:szCs w:val="32"/>
          <w:lang w:val="en-US" w:eastAsia="zh-CN"/>
        </w:rPr>
        <w:t>标题：</w:t>
      </w:r>
      <w:r>
        <w:rPr>
          <w:rFonts w:hint="eastAsia" w:ascii="Times New Roman" w:hAnsi="Times New Roman" w:eastAsia="仿宋" w:cs="Times New Roman"/>
          <w:color w:val="auto"/>
          <w:sz w:val="32"/>
          <w:szCs w:val="32"/>
          <w:u w:val="single"/>
          <w:lang w:val="en-US" w:eastAsia="zh-CN"/>
        </w:rPr>
        <w:t>乐山市五通桥人民医院报价响应文件</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采购项目名称、采购编号</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供应商名称等信息，递交投标响应文件时一起递交。</w:t>
      </w:r>
    </w:p>
    <w:p w14:paraId="783DC46E">
      <w:pPr>
        <w:pStyle w:val="2"/>
        <w:rPr>
          <w:rFonts w:hint="default"/>
          <w:lang w:val="en-US" w:eastAsia="zh-CN"/>
        </w:rPr>
      </w:pPr>
    </w:p>
    <w:p w14:paraId="76C2C1D1">
      <w:pPr>
        <w:keepNext w:val="0"/>
        <w:keepLines w:val="0"/>
        <w:pageBreakBefore w:val="0"/>
        <w:widowControl w:val="0"/>
        <w:kinsoku/>
        <w:wordWrap/>
        <w:overflowPunct/>
        <w:topLinePunct w:val="0"/>
        <w:autoSpaceDE/>
        <w:autoSpaceDN/>
        <w:bidi w:val="0"/>
        <w:adjustRightInd/>
        <w:snapToGrid/>
        <w:spacing w:before="361" w:beforeLines="10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院内采购</w:t>
      </w:r>
      <w:r>
        <w:rPr>
          <w:rFonts w:hint="eastAsia" w:ascii="黑体" w:hAnsi="黑体" w:eastAsia="黑体" w:cs="黑体"/>
          <w:b w:val="0"/>
          <w:bCs w:val="0"/>
          <w:sz w:val="32"/>
          <w:szCs w:val="32"/>
        </w:rPr>
        <w:t>会议的召开</w:t>
      </w:r>
    </w:p>
    <w:p w14:paraId="358565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 xml:space="preserve">  </w:t>
      </w:r>
      <w:r>
        <w:rPr>
          <w:rFonts w:hint="default" w:ascii="Times New Roman" w:hAnsi="Times New Roman" w:eastAsia="仿宋" w:cs="Times New Roman"/>
          <w:b/>
          <w:sz w:val="32"/>
          <w:szCs w:val="32"/>
          <w:lang w:val="en-US" w:eastAsia="zh-CN"/>
        </w:rPr>
        <w:t xml:space="preserve">  </w:t>
      </w:r>
      <w:r>
        <w:rPr>
          <w:rFonts w:hint="default" w:ascii="Times New Roman" w:hAnsi="Times New Roman" w:eastAsia="仿宋" w:cs="Times New Roman"/>
          <w:sz w:val="32"/>
          <w:szCs w:val="32"/>
          <w:lang w:eastAsia="zh-CN"/>
        </w:rPr>
        <w:t>院内采购</w:t>
      </w:r>
      <w:r>
        <w:rPr>
          <w:rFonts w:hint="default" w:ascii="Times New Roman" w:hAnsi="Times New Roman" w:eastAsia="仿宋" w:cs="Times New Roman"/>
          <w:sz w:val="32"/>
          <w:szCs w:val="32"/>
        </w:rPr>
        <w:t>会议顺序:</w:t>
      </w:r>
    </w:p>
    <w:p w14:paraId="7CB83E9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院内采购</w:t>
      </w:r>
      <w:r>
        <w:rPr>
          <w:rFonts w:hint="default" w:ascii="Times New Roman" w:hAnsi="Times New Roman" w:eastAsia="仿宋" w:cs="Times New Roman"/>
          <w:sz w:val="32"/>
          <w:szCs w:val="32"/>
        </w:rPr>
        <w:t>由</w:t>
      </w:r>
      <w:r>
        <w:rPr>
          <w:rFonts w:hint="default" w:ascii="Times New Roman" w:hAnsi="Times New Roman" w:eastAsia="仿宋" w:cs="Times New Roman"/>
          <w:sz w:val="32"/>
          <w:szCs w:val="32"/>
          <w:lang w:eastAsia="zh-CN"/>
        </w:rPr>
        <w:t>采购办</w:t>
      </w:r>
      <w:r>
        <w:rPr>
          <w:rFonts w:hint="default" w:ascii="Times New Roman" w:hAnsi="Times New Roman" w:eastAsia="仿宋" w:cs="Times New Roman"/>
          <w:sz w:val="32"/>
          <w:szCs w:val="32"/>
        </w:rPr>
        <w:t>主持；</w:t>
      </w:r>
    </w:p>
    <w:p w14:paraId="140DED7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由监督人员检查</w:t>
      </w:r>
      <w:r>
        <w:rPr>
          <w:rFonts w:hint="default" w:ascii="Times New Roman" w:hAnsi="Times New Roman" w:eastAsia="仿宋" w:cs="Times New Roman"/>
          <w:sz w:val="32"/>
          <w:szCs w:val="32"/>
          <w:lang w:eastAsia="zh-CN"/>
        </w:rPr>
        <w:t>采购</w:t>
      </w:r>
      <w:r>
        <w:rPr>
          <w:rFonts w:hint="default" w:ascii="Times New Roman" w:hAnsi="Times New Roman" w:eastAsia="仿宋" w:cs="Times New Roman"/>
          <w:sz w:val="32"/>
          <w:szCs w:val="32"/>
        </w:rPr>
        <w:t>响应文件密封情况；</w:t>
      </w:r>
    </w:p>
    <w:p w14:paraId="3D3F776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将符合密封要求的资格、技术商务、报价</w:t>
      </w:r>
      <w:r>
        <w:rPr>
          <w:rFonts w:hint="default" w:ascii="Times New Roman" w:hAnsi="Times New Roman" w:eastAsia="仿宋" w:cs="Times New Roman"/>
          <w:sz w:val="32"/>
          <w:szCs w:val="32"/>
          <w:lang w:val="en-US" w:eastAsia="zh-CN"/>
        </w:rPr>
        <w:t>响应</w:t>
      </w:r>
      <w:r>
        <w:rPr>
          <w:rFonts w:hint="default" w:ascii="Times New Roman" w:hAnsi="Times New Roman" w:eastAsia="仿宋" w:cs="Times New Roman"/>
          <w:sz w:val="32"/>
          <w:szCs w:val="32"/>
        </w:rPr>
        <w:t>文件送</w:t>
      </w:r>
      <w:r>
        <w:rPr>
          <w:rFonts w:hint="default" w:ascii="Times New Roman" w:hAnsi="Times New Roman" w:eastAsia="仿宋" w:cs="Times New Roman"/>
          <w:sz w:val="32"/>
          <w:szCs w:val="32"/>
          <w:lang w:eastAsia="zh-CN"/>
        </w:rPr>
        <w:t>评审</w:t>
      </w:r>
      <w:r>
        <w:rPr>
          <w:rFonts w:hint="default" w:ascii="Times New Roman" w:hAnsi="Times New Roman" w:eastAsia="仿宋" w:cs="Times New Roman"/>
          <w:sz w:val="32"/>
          <w:szCs w:val="32"/>
        </w:rPr>
        <w:t>小组评审；</w:t>
      </w:r>
    </w:p>
    <w:p w14:paraId="340B457B">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000000"/>
          <w:sz w:val="32"/>
          <w:szCs w:val="32"/>
          <w:shd w:val="clear" w:color="auto" w:fill="auto"/>
        </w:rPr>
      </w:pP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eastAsia="zh-CN"/>
        </w:rPr>
        <w:t>采购</w:t>
      </w:r>
      <w:r>
        <w:rPr>
          <w:rFonts w:hint="default" w:ascii="Times New Roman" w:hAnsi="Times New Roman" w:eastAsia="仿宋" w:cs="Times New Roman"/>
          <w:sz w:val="32"/>
          <w:szCs w:val="32"/>
        </w:rPr>
        <w:t>结束后，由</w:t>
      </w:r>
      <w:r>
        <w:rPr>
          <w:rFonts w:hint="default" w:ascii="Times New Roman" w:hAnsi="Times New Roman" w:eastAsia="仿宋" w:cs="Times New Roman"/>
          <w:sz w:val="32"/>
          <w:szCs w:val="32"/>
          <w:lang w:eastAsia="zh-CN"/>
        </w:rPr>
        <w:t>评审小组根据报价情况</w:t>
      </w:r>
      <w:r>
        <w:rPr>
          <w:rFonts w:hint="default" w:ascii="Times New Roman" w:hAnsi="Times New Roman" w:eastAsia="仿宋" w:cs="Times New Roman"/>
          <w:sz w:val="32"/>
          <w:szCs w:val="32"/>
        </w:rPr>
        <w:t>，</w:t>
      </w:r>
      <w:r>
        <w:rPr>
          <w:rFonts w:hint="default" w:ascii="Times New Roman" w:hAnsi="Times New Roman" w:eastAsia="仿宋" w:cs="Times New Roman"/>
          <w:color w:val="000000"/>
          <w:sz w:val="32"/>
          <w:szCs w:val="32"/>
          <w:shd w:val="clear" w:color="auto" w:fill="auto"/>
        </w:rPr>
        <w:t>推荐成交候选供应商。</w:t>
      </w:r>
    </w:p>
    <w:p w14:paraId="70574119">
      <w:pPr>
        <w:keepNext w:val="0"/>
        <w:keepLines w:val="0"/>
        <w:pageBreakBefore w:val="0"/>
        <w:widowControl w:val="0"/>
        <w:kinsoku/>
        <w:wordWrap/>
        <w:overflowPunct/>
        <w:topLinePunct w:val="0"/>
        <w:autoSpaceDE/>
        <w:autoSpaceDN/>
        <w:bidi w:val="0"/>
        <w:adjustRightInd/>
        <w:snapToGrid/>
        <w:spacing w:before="361" w:beforeLines="100" w:line="560" w:lineRule="exact"/>
        <w:ind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、质疑提出与答复</w:t>
      </w:r>
    </w:p>
    <w:p w14:paraId="63A6B7D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default" w:ascii="Times New Roman" w:hAnsi="Times New Roman" w:eastAsia="仿宋" w:cs="Times New Roman"/>
          <w:sz w:val="32"/>
          <w:szCs w:val="32"/>
          <w:lang w:val="zh-CN" w:eastAsia="zh-CN"/>
        </w:rPr>
        <w:t>受理联系人及联系方式见公告</w:t>
      </w:r>
      <w:r>
        <w:rPr>
          <w:rFonts w:hint="default" w:ascii="Times New Roman" w:hAnsi="Times New Roman" w:eastAsia="仿宋" w:cs="Times New Roman"/>
          <w:sz w:val="32"/>
          <w:szCs w:val="32"/>
          <w:lang w:val="en-US" w:eastAsia="zh-CN"/>
        </w:rPr>
        <w:t>采购办</w:t>
      </w:r>
      <w:r>
        <w:rPr>
          <w:rFonts w:hint="default" w:ascii="Times New Roman" w:hAnsi="Times New Roman" w:eastAsia="仿宋" w:cs="Times New Roman"/>
          <w:sz w:val="32"/>
          <w:szCs w:val="32"/>
          <w:lang w:val="zh-CN" w:eastAsia="zh-CN"/>
        </w:rPr>
        <w:t>联系人。</w:t>
      </w:r>
    </w:p>
    <w:p w14:paraId="241FECF6">
      <w:pPr>
        <w:spacing w:line="240" w:lineRule="auto"/>
        <w:rPr>
          <w:rFonts w:hint="default" w:ascii="Times New Roman" w:hAnsi="Times New Roman" w:eastAsia="仿宋" w:cs="Times New Roman"/>
          <w:b/>
          <w:bCs/>
          <w:color w:val="auto"/>
          <w:sz w:val="44"/>
          <w:szCs w:val="44"/>
          <w:lang w:eastAsia="zh-CN"/>
        </w:rPr>
      </w:pPr>
      <w:r>
        <w:rPr>
          <w:rFonts w:hint="default" w:ascii="Times New Roman" w:hAnsi="Times New Roman" w:eastAsia="仿宋" w:cs="Times New Roman"/>
          <w:b/>
          <w:bCs/>
          <w:color w:val="auto"/>
          <w:sz w:val="44"/>
          <w:szCs w:val="44"/>
          <w:lang w:eastAsia="zh-CN"/>
        </w:rPr>
        <w:br w:type="page"/>
      </w:r>
    </w:p>
    <w:p w14:paraId="5665C6A6">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14:paraId="071432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14:paraId="05652C69">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采购办</w:t>
      </w:r>
      <w:r>
        <w:rPr>
          <w:rFonts w:hint="default" w:ascii="Times New Roman" w:hAnsi="Times New Roman" w:eastAsia="仿宋" w:cs="Times New Roman"/>
          <w:sz w:val="32"/>
          <w:szCs w:val="32"/>
        </w:rPr>
        <w:t>将根据</w:t>
      </w:r>
      <w:r>
        <w:rPr>
          <w:rFonts w:hint="default" w:ascii="Times New Roman" w:hAnsi="Times New Roman" w:eastAsia="仿宋" w:cs="Times New Roman"/>
          <w:sz w:val="32"/>
          <w:szCs w:val="32"/>
          <w:lang w:eastAsia="zh-CN"/>
        </w:rPr>
        <w:t>采购邀请</w:t>
      </w:r>
      <w:r>
        <w:rPr>
          <w:rFonts w:hint="default" w:ascii="Times New Roman" w:hAnsi="Times New Roman" w:eastAsia="仿宋" w:cs="Times New Roman"/>
          <w:sz w:val="32"/>
          <w:szCs w:val="32"/>
        </w:rPr>
        <w:t>中规定的递交文件截止时间前接受供应商响应文件，并按以下程序组织</w:t>
      </w:r>
      <w:r>
        <w:rPr>
          <w:rFonts w:hint="default" w:ascii="Times New Roman" w:hAnsi="Times New Roman" w:eastAsia="仿宋" w:cs="Times New Roman"/>
          <w:sz w:val="32"/>
          <w:szCs w:val="32"/>
          <w:lang w:eastAsia="zh-CN"/>
        </w:rPr>
        <w:t>采购</w:t>
      </w:r>
      <w:r>
        <w:rPr>
          <w:rFonts w:hint="default" w:ascii="Times New Roman" w:hAnsi="Times New Roman" w:eastAsia="仿宋" w:cs="Times New Roman"/>
          <w:sz w:val="32"/>
          <w:szCs w:val="32"/>
        </w:rPr>
        <w:t>：</w:t>
      </w:r>
    </w:p>
    <w:p w14:paraId="412A31B1">
      <w:pPr>
        <w:keepNext w:val="0"/>
        <w:keepLines w:val="0"/>
        <w:pageBreakBefore w:val="0"/>
        <w:widowControl w:val="0"/>
        <w:kinsoku/>
        <w:wordWrap/>
        <w:overflowPunct/>
        <w:topLinePunct w:val="0"/>
        <w:autoSpaceDE/>
        <w:autoSpaceDN/>
        <w:bidi w:val="0"/>
        <w:adjustRightInd/>
        <w:snapToGrid/>
        <w:spacing w:line="300" w:lineRule="auto"/>
        <w:ind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一、组织</w:t>
      </w:r>
      <w:r>
        <w:rPr>
          <w:rFonts w:hint="default" w:ascii="Times New Roman" w:hAnsi="Times New Roman" w:eastAsia="仿宋" w:cs="Times New Roman"/>
          <w:sz w:val="32"/>
          <w:szCs w:val="32"/>
          <w:lang w:eastAsia="zh-CN"/>
        </w:rPr>
        <w:t>采购评审</w:t>
      </w:r>
      <w:r>
        <w:rPr>
          <w:rFonts w:hint="default" w:ascii="Times New Roman" w:hAnsi="Times New Roman" w:eastAsia="仿宋" w:cs="Times New Roman"/>
          <w:sz w:val="32"/>
          <w:szCs w:val="32"/>
        </w:rPr>
        <w:t>对供应商递交的响应文件进行资格审查和符合性审查。</w:t>
      </w:r>
    </w:p>
    <w:p w14:paraId="425CD27B">
      <w:pPr>
        <w:keepNext w:val="0"/>
        <w:keepLines w:val="0"/>
        <w:pageBreakBefore w:val="0"/>
        <w:widowControl w:val="0"/>
        <w:kinsoku/>
        <w:wordWrap/>
        <w:overflowPunct/>
        <w:topLinePunct w:val="0"/>
        <w:autoSpaceDE/>
        <w:autoSpaceDN/>
        <w:bidi w:val="0"/>
        <w:adjustRightInd/>
        <w:snapToGrid/>
        <w:spacing w:line="300" w:lineRule="auto"/>
        <w:ind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color w:val="000000"/>
          <w:sz w:val="32"/>
          <w:szCs w:val="32"/>
        </w:rPr>
        <w:t>通过资格审查和符合性审查供应商数量不足三家的，本次采购活动终止。</w:t>
      </w:r>
    </w:p>
    <w:p w14:paraId="75EF3C55">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出现但不限于下列情况之一的，其响应文件将被视为无效文件不予通过资格审查和符合性审查：</w:t>
      </w:r>
    </w:p>
    <w:p w14:paraId="79003D64">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资格不符合要求的；</w:t>
      </w:r>
    </w:p>
    <w:p w14:paraId="52534F6D">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响应文件未实质性响应</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文件要求的；</w:t>
      </w:r>
    </w:p>
    <w:p w14:paraId="19948012">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val="en-US" w:eastAsia="zh-CN"/>
        </w:rPr>
        <w:t>3.</w:t>
      </w:r>
      <w:r>
        <w:rPr>
          <w:rFonts w:hint="default" w:ascii="Times New Roman" w:hAnsi="Times New Roman" w:eastAsia="仿宋" w:cs="Times New Roman"/>
          <w:color w:val="000000"/>
          <w:sz w:val="32"/>
          <w:szCs w:val="32"/>
        </w:rPr>
        <w:t>响应文件无法定代表人签字，或签字人未被法定代表人授权的</w:t>
      </w:r>
      <w:r>
        <w:rPr>
          <w:rFonts w:hint="default" w:ascii="Times New Roman" w:hAnsi="Times New Roman" w:eastAsia="仿宋" w:cs="Times New Roman"/>
          <w:color w:val="000000"/>
          <w:sz w:val="32"/>
          <w:szCs w:val="32"/>
          <w:lang w:eastAsia="zh-CN"/>
        </w:rPr>
        <w:t>；</w:t>
      </w:r>
    </w:p>
    <w:p w14:paraId="48DFD191">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4.</w:t>
      </w:r>
      <w:r>
        <w:rPr>
          <w:rFonts w:hint="default" w:ascii="Times New Roman" w:hAnsi="Times New Roman" w:eastAsia="仿宋" w:cs="Times New Roman"/>
          <w:color w:val="000000"/>
          <w:sz w:val="32"/>
          <w:szCs w:val="32"/>
        </w:rPr>
        <w:t>所报总价超出项目预算且无法支付的；</w:t>
      </w:r>
    </w:p>
    <w:p w14:paraId="6FC34FE2">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color w:val="000000"/>
          <w:sz w:val="32"/>
          <w:szCs w:val="32"/>
          <w:lang w:val="en-US" w:eastAsia="zh-CN"/>
        </w:rPr>
        <w:t>5.</w:t>
      </w:r>
      <w:r>
        <w:rPr>
          <w:rFonts w:hint="default" w:ascii="Times New Roman" w:hAnsi="Times New Roman" w:eastAsia="仿宋" w:cs="Times New Roman"/>
          <w:color w:val="000000"/>
          <w:sz w:val="32"/>
          <w:szCs w:val="32"/>
        </w:rPr>
        <w:t>不同</w:t>
      </w:r>
      <w:r>
        <w:rPr>
          <w:rFonts w:hint="default" w:ascii="Times New Roman" w:hAnsi="Times New Roman" w:eastAsia="仿宋" w:cs="Times New Roman"/>
          <w:kern w:val="0"/>
          <w:sz w:val="32"/>
          <w:szCs w:val="32"/>
        </w:rPr>
        <w:t>供应商负责人为同一人或者存在直接控股、管理关系的；</w:t>
      </w:r>
    </w:p>
    <w:p w14:paraId="1E45F342">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lang w:eastAsia="zh-CN"/>
        </w:rPr>
        <w:t>负偏离。</w:t>
      </w:r>
    </w:p>
    <w:p w14:paraId="12CAF55B">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zh-CN"/>
        </w:rPr>
        <w:t>三、</w:t>
      </w:r>
      <w:r>
        <w:rPr>
          <w:rFonts w:hint="default" w:ascii="Times New Roman" w:hAnsi="Times New Roman" w:eastAsia="仿宋" w:cs="Times New Roman"/>
          <w:color w:val="000000"/>
          <w:sz w:val="32"/>
          <w:szCs w:val="32"/>
        </w:rPr>
        <w:t>在</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中，</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的任何一方不得透露与</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有关的其他供应商的技术资料、价格和其他信息。</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轮次一般为一轮（评审</w:t>
      </w:r>
      <w:r>
        <w:rPr>
          <w:rFonts w:hint="default" w:ascii="Times New Roman" w:hAnsi="Times New Roman" w:eastAsia="仿宋" w:cs="Times New Roman"/>
          <w:color w:val="000000"/>
          <w:sz w:val="32"/>
          <w:szCs w:val="32"/>
          <w:lang w:eastAsia="zh-CN"/>
        </w:rPr>
        <w:t>小组</w:t>
      </w:r>
      <w:r>
        <w:rPr>
          <w:rFonts w:hint="default" w:ascii="Times New Roman" w:hAnsi="Times New Roman" w:eastAsia="仿宋" w:cs="Times New Roman"/>
          <w:color w:val="000000"/>
          <w:sz w:val="32"/>
          <w:szCs w:val="32"/>
        </w:rPr>
        <w:t>可根据</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情况调整轮次）。如供应商在</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过程中存在违法、违纪行为，</w:t>
      </w:r>
      <w:r>
        <w:rPr>
          <w:rFonts w:hint="default" w:ascii="Times New Roman" w:hAnsi="Times New Roman" w:eastAsia="仿宋" w:cs="Times New Roman"/>
          <w:color w:val="000000"/>
          <w:sz w:val="32"/>
          <w:szCs w:val="32"/>
          <w:lang w:eastAsia="zh-CN"/>
        </w:rPr>
        <w:t>评审小组</w:t>
      </w:r>
      <w:r>
        <w:rPr>
          <w:rFonts w:hint="default" w:ascii="Times New Roman" w:hAnsi="Times New Roman" w:eastAsia="仿宋" w:cs="Times New Roman"/>
          <w:color w:val="000000"/>
          <w:sz w:val="32"/>
          <w:szCs w:val="32"/>
        </w:rPr>
        <w:t>将不允许其参加最后报价。</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结束后，</w:t>
      </w:r>
      <w:r>
        <w:rPr>
          <w:rFonts w:hint="default" w:ascii="Times New Roman" w:hAnsi="Times New Roman" w:eastAsia="仿宋" w:cs="Times New Roman"/>
          <w:color w:val="000000"/>
          <w:sz w:val="32"/>
          <w:szCs w:val="32"/>
          <w:lang w:eastAsia="zh-CN"/>
        </w:rPr>
        <w:t>评审小组要求供应商现场进行</w:t>
      </w:r>
      <w:r>
        <w:rPr>
          <w:rFonts w:hint="default" w:ascii="Times New Roman" w:hAnsi="Times New Roman" w:eastAsia="仿宋" w:cs="Times New Roman"/>
          <w:sz w:val="32"/>
          <w:szCs w:val="32"/>
        </w:rPr>
        <w:t>最终报价</w:t>
      </w:r>
      <w:r>
        <w:rPr>
          <w:rFonts w:hint="default" w:ascii="Times New Roman" w:hAnsi="Times New Roman" w:eastAsia="仿宋" w:cs="Times New Roman"/>
          <w:sz w:val="32"/>
          <w:szCs w:val="32"/>
          <w:lang w:eastAsia="zh-CN"/>
        </w:rPr>
        <w:t>填报后</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评审小组</w:t>
      </w:r>
      <w:r>
        <w:rPr>
          <w:rFonts w:hint="default" w:ascii="Times New Roman" w:hAnsi="Times New Roman" w:eastAsia="仿宋" w:cs="Times New Roman"/>
          <w:color w:val="000000"/>
          <w:sz w:val="32"/>
          <w:szCs w:val="32"/>
        </w:rPr>
        <w:t>根据符合采购需求、质量和服务相等且</w:t>
      </w:r>
      <w:r>
        <w:rPr>
          <w:rFonts w:hint="default" w:ascii="Times New Roman" w:hAnsi="Times New Roman" w:eastAsia="仿宋" w:cs="Times New Roman"/>
          <w:color w:val="auto"/>
          <w:sz w:val="32"/>
          <w:szCs w:val="32"/>
          <w:lang w:eastAsia="zh-CN"/>
        </w:rPr>
        <w:t>综合评分最高</w:t>
      </w:r>
      <w:r>
        <w:rPr>
          <w:rFonts w:hint="default" w:ascii="Times New Roman" w:hAnsi="Times New Roman" w:eastAsia="仿宋" w:cs="Times New Roman"/>
          <w:color w:val="000000"/>
          <w:sz w:val="32"/>
          <w:szCs w:val="32"/>
        </w:rPr>
        <w:t>的原则推荐成交候选供应商，由采购人授权</w:t>
      </w:r>
      <w:r>
        <w:rPr>
          <w:rFonts w:hint="default" w:ascii="Times New Roman" w:hAnsi="Times New Roman" w:eastAsia="仿宋" w:cs="Times New Roman"/>
          <w:color w:val="000000"/>
          <w:sz w:val="32"/>
          <w:szCs w:val="32"/>
          <w:lang w:eastAsia="zh-CN"/>
        </w:rPr>
        <w:t>评审小组</w:t>
      </w:r>
      <w:r>
        <w:rPr>
          <w:rFonts w:hint="default" w:ascii="Times New Roman" w:hAnsi="Times New Roman" w:eastAsia="仿宋" w:cs="Times New Roman"/>
          <w:color w:val="000000"/>
          <w:sz w:val="32"/>
          <w:szCs w:val="32"/>
        </w:rPr>
        <w:t>确认成交供应商，</w:t>
      </w:r>
      <w:r>
        <w:rPr>
          <w:rFonts w:hint="default" w:ascii="Times New Roman" w:hAnsi="Times New Roman" w:eastAsia="仿宋" w:cs="Times New Roman"/>
          <w:color w:val="000000"/>
          <w:sz w:val="32"/>
          <w:szCs w:val="32"/>
          <w:lang w:eastAsia="zh-CN"/>
        </w:rPr>
        <w:t>采购办</w:t>
      </w:r>
      <w:r>
        <w:rPr>
          <w:rFonts w:hint="default" w:ascii="Times New Roman" w:hAnsi="Times New Roman" w:eastAsia="仿宋" w:cs="Times New Roman"/>
          <w:color w:val="000000"/>
          <w:sz w:val="32"/>
          <w:szCs w:val="32"/>
        </w:rPr>
        <w:t>于</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个工作日内在</w:t>
      </w:r>
      <w:r>
        <w:rPr>
          <w:rFonts w:hint="default" w:ascii="Times New Roman" w:hAnsi="Times New Roman" w:eastAsia="仿宋" w:cs="Times New Roman"/>
          <w:color w:val="000000"/>
          <w:sz w:val="32"/>
          <w:szCs w:val="32"/>
          <w:lang w:eastAsia="zh-CN"/>
        </w:rPr>
        <w:t>乐山市五通桥区人民医院</w:t>
      </w:r>
      <w:r>
        <w:rPr>
          <w:rFonts w:hint="default" w:ascii="Times New Roman" w:hAnsi="Times New Roman" w:eastAsia="仿宋" w:cs="Times New Roman"/>
          <w:color w:val="000000"/>
          <w:sz w:val="32"/>
          <w:szCs w:val="32"/>
          <w:lang w:val="en-US" w:eastAsia="zh-CN"/>
        </w:rPr>
        <w:t>网</w:t>
      </w:r>
      <w:r>
        <w:rPr>
          <w:rFonts w:hint="default" w:ascii="Times New Roman" w:hAnsi="Times New Roman" w:eastAsia="仿宋" w:cs="Times New Roman"/>
          <w:color w:val="000000"/>
          <w:sz w:val="32"/>
          <w:szCs w:val="32"/>
        </w:rPr>
        <w:t>上公告成交结果。</w:t>
      </w:r>
    </w:p>
    <w:p w14:paraId="5458EE19">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四、成交标准</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按</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最终报价为依据（未组织</w:t>
      </w:r>
      <w:r>
        <w:rPr>
          <w:rFonts w:hint="default" w:ascii="Times New Roman" w:hAnsi="Times New Roman" w:eastAsia="仿宋" w:cs="Times New Roman"/>
          <w:color w:val="000000"/>
          <w:sz w:val="32"/>
          <w:szCs w:val="32"/>
          <w:lang w:val="en-US" w:eastAsia="zh-CN"/>
        </w:rPr>
        <w:t>二次报价</w:t>
      </w:r>
      <w:r>
        <w:rPr>
          <w:rFonts w:hint="default" w:ascii="Times New Roman" w:hAnsi="Times New Roman" w:eastAsia="仿宋" w:cs="Times New Roman"/>
          <w:color w:val="000000"/>
          <w:sz w:val="32"/>
          <w:szCs w:val="32"/>
        </w:rPr>
        <w:t>的，以报价响应文件中的报价为依据），体现满足采购项目要求</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且</w:t>
      </w:r>
      <w:r>
        <w:rPr>
          <w:rFonts w:hint="default" w:ascii="Times New Roman" w:hAnsi="Times New Roman" w:eastAsia="仿宋" w:cs="Times New Roman"/>
          <w:color w:val="auto"/>
          <w:sz w:val="32"/>
          <w:szCs w:val="32"/>
          <w:lang w:eastAsia="zh-CN"/>
        </w:rPr>
        <w:t>综合评分最高</w:t>
      </w:r>
      <w:r>
        <w:rPr>
          <w:rFonts w:hint="default" w:ascii="Times New Roman" w:hAnsi="Times New Roman" w:eastAsia="仿宋" w:cs="Times New Roman"/>
          <w:color w:val="000000"/>
          <w:sz w:val="32"/>
          <w:szCs w:val="32"/>
        </w:rPr>
        <w:t>原则确定成交供应商。</w:t>
      </w:r>
    </w:p>
    <w:p w14:paraId="202CB9F4">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color w:val="000000"/>
          <w:sz w:val="32"/>
          <w:szCs w:val="32"/>
          <w:lang w:val="en-US" w:eastAsia="zh-CN"/>
        </w:rPr>
        <w:t>采用</w:t>
      </w:r>
      <w:r>
        <w:rPr>
          <w:rFonts w:hint="default" w:ascii="Times New Roman" w:hAnsi="Times New Roman" w:eastAsia="仿宋" w:cs="Times New Roman"/>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default" w:ascii="Times New Roman" w:hAnsi="Times New Roman" w:eastAsia="仿宋" w:cs="Times New Roman"/>
          <w:color w:val="000000"/>
          <w:sz w:val="32"/>
          <w:szCs w:val="32"/>
          <w:lang w:val="en-US" w:eastAsia="zh-CN"/>
        </w:rPr>
        <w:t>则价格最低的供应商</w:t>
      </w:r>
      <w:r>
        <w:rPr>
          <w:rFonts w:hint="default" w:ascii="Times New Roman" w:hAnsi="Times New Roman" w:eastAsia="仿宋" w:cs="Times New Roman"/>
          <w:color w:val="000000"/>
          <w:sz w:val="32"/>
          <w:szCs w:val="32"/>
        </w:rPr>
        <w:t>确定</w:t>
      </w:r>
      <w:r>
        <w:rPr>
          <w:rFonts w:hint="default" w:ascii="Times New Roman" w:hAnsi="Times New Roman" w:eastAsia="仿宋" w:cs="Times New Roman"/>
          <w:color w:val="000000"/>
          <w:sz w:val="32"/>
          <w:szCs w:val="32"/>
          <w:lang w:val="en-US" w:eastAsia="zh-CN"/>
        </w:rPr>
        <w:t>第一候选人。价格也相同时，</w:t>
      </w:r>
      <w:r>
        <w:rPr>
          <w:rFonts w:hint="default" w:ascii="Times New Roman" w:hAnsi="Times New Roman" w:eastAsia="仿宋" w:cs="Times New Roman"/>
          <w:color w:val="000000"/>
          <w:sz w:val="32"/>
          <w:szCs w:val="32"/>
        </w:rPr>
        <w:t>由采购人</w:t>
      </w:r>
      <w:r>
        <w:rPr>
          <w:rFonts w:hint="default" w:ascii="Times New Roman" w:hAnsi="Times New Roman" w:eastAsia="仿宋" w:cs="Times New Roman"/>
          <w:color w:val="000000"/>
          <w:sz w:val="32"/>
          <w:szCs w:val="32"/>
          <w:lang w:val="en-US" w:eastAsia="zh-CN"/>
        </w:rPr>
        <w:t>组织</w:t>
      </w:r>
      <w:r>
        <w:rPr>
          <w:rFonts w:hint="default" w:ascii="Times New Roman" w:hAnsi="Times New Roman" w:eastAsia="仿宋" w:cs="Times New Roman"/>
          <w:color w:val="000000"/>
          <w:sz w:val="32"/>
          <w:szCs w:val="32"/>
        </w:rPr>
        <w:t>评标</w:t>
      </w:r>
      <w:r>
        <w:rPr>
          <w:rFonts w:hint="default" w:ascii="Times New Roman" w:hAnsi="Times New Roman" w:eastAsia="仿宋" w:cs="Times New Roman"/>
          <w:color w:val="000000"/>
          <w:sz w:val="32"/>
          <w:szCs w:val="32"/>
          <w:lang w:val="en-US" w:eastAsia="zh-CN"/>
        </w:rPr>
        <w:t>小组</w:t>
      </w:r>
      <w:r>
        <w:rPr>
          <w:rFonts w:hint="default" w:ascii="Times New Roman" w:hAnsi="Times New Roman" w:eastAsia="仿宋" w:cs="Times New Roman"/>
          <w:color w:val="000000"/>
          <w:sz w:val="32"/>
          <w:szCs w:val="32"/>
        </w:rPr>
        <w:t>按照采取随机抽取方式确定</w:t>
      </w:r>
      <w:r>
        <w:rPr>
          <w:rFonts w:hint="default" w:ascii="Times New Roman" w:hAnsi="Times New Roman" w:eastAsia="仿宋" w:cs="Times New Roman"/>
          <w:color w:val="000000"/>
          <w:sz w:val="32"/>
          <w:szCs w:val="32"/>
          <w:lang w:val="en-US" w:eastAsia="zh-CN"/>
        </w:rPr>
        <w:t>第一候选人</w:t>
      </w:r>
      <w:r>
        <w:rPr>
          <w:rFonts w:hint="default" w:ascii="Times New Roman" w:hAnsi="Times New Roman" w:eastAsia="仿宋" w:cs="Times New Roman"/>
          <w:color w:val="000000"/>
          <w:sz w:val="32"/>
          <w:szCs w:val="32"/>
        </w:rPr>
        <w:t>，其他投标无效。</w:t>
      </w:r>
    </w:p>
    <w:p w14:paraId="1B444151">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w:t>
      </w:r>
      <w:r>
        <w:rPr>
          <w:rFonts w:hint="default" w:ascii="Times New Roman" w:hAnsi="Times New Roman" w:eastAsia="仿宋" w:cs="Times New Roman"/>
          <w:color w:val="000000"/>
          <w:sz w:val="32"/>
          <w:szCs w:val="32"/>
          <w:lang w:eastAsia="zh-CN"/>
        </w:rPr>
        <w:t>院内采购评审小组</w:t>
      </w:r>
      <w:r>
        <w:rPr>
          <w:rFonts w:hint="default" w:ascii="Times New Roman" w:hAnsi="Times New Roman" w:eastAsia="仿宋" w:cs="Times New Roman"/>
          <w:color w:val="000000"/>
          <w:sz w:val="32"/>
          <w:szCs w:val="32"/>
        </w:rPr>
        <w:t>的组建。</w:t>
      </w:r>
      <w:r>
        <w:rPr>
          <w:rFonts w:hint="default" w:ascii="Times New Roman" w:hAnsi="Times New Roman" w:eastAsia="仿宋" w:cs="Times New Roman"/>
          <w:color w:val="000000"/>
          <w:sz w:val="32"/>
          <w:szCs w:val="32"/>
          <w:lang w:eastAsia="zh-CN"/>
        </w:rPr>
        <w:t>评审小组</w:t>
      </w:r>
      <w:r>
        <w:rPr>
          <w:rFonts w:hint="default" w:ascii="Times New Roman" w:hAnsi="Times New Roman" w:eastAsia="仿宋" w:cs="Times New Roman"/>
          <w:color w:val="000000"/>
          <w:sz w:val="32"/>
          <w:szCs w:val="32"/>
        </w:rPr>
        <w:t>依法由三人</w:t>
      </w:r>
      <w:r>
        <w:rPr>
          <w:rFonts w:hint="default" w:ascii="Times New Roman" w:hAnsi="Times New Roman" w:eastAsia="仿宋" w:cs="Times New Roman"/>
          <w:color w:val="000000"/>
          <w:sz w:val="32"/>
          <w:szCs w:val="32"/>
          <w:lang w:eastAsia="zh-CN"/>
        </w:rPr>
        <w:t>及</w:t>
      </w:r>
      <w:r>
        <w:rPr>
          <w:rFonts w:hint="default" w:ascii="Times New Roman" w:hAnsi="Times New Roman" w:eastAsia="仿宋" w:cs="Times New Roman"/>
          <w:color w:val="000000"/>
          <w:sz w:val="32"/>
          <w:szCs w:val="32"/>
        </w:rPr>
        <w:t>以上单数组成。</w:t>
      </w:r>
    </w:p>
    <w:p w14:paraId="069D6EC7">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zh-CN"/>
        </w:rPr>
        <w:t>六、</w:t>
      </w:r>
      <w:r>
        <w:rPr>
          <w:rFonts w:hint="default" w:ascii="Times New Roman" w:hAnsi="Times New Roman" w:eastAsia="仿宋" w:cs="Times New Roman"/>
          <w:color w:val="000000"/>
          <w:sz w:val="32"/>
          <w:szCs w:val="32"/>
        </w:rPr>
        <w:t>低于成本价不正当竞争预防措施</w:t>
      </w:r>
    </w:p>
    <w:p w14:paraId="3416F058">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在评审过程中，供应商报价明显低于其他有效供应商报价，有可能影响产品质量或者不能诚信履约的，</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小组应当要求其在</w:t>
      </w:r>
      <w:r>
        <w:rPr>
          <w:rFonts w:hint="default" w:ascii="Times New Roman" w:hAnsi="Times New Roman" w:eastAsia="仿宋" w:cs="Times New Roman"/>
          <w:color w:val="000000"/>
          <w:sz w:val="32"/>
          <w:szCs w:val="32"/>
          <w:lang w:val="en-US" w:eastAsia="zh-CN"/>
        </w:rPr>
        <w:t>半</w:t>
      </w:r>
      <w:r>
        <w:rPr>
          <w:rFonts w:hint="default" w:ascii="Times New Roman" w:hAnsi="Times New Roman" w:eastAsia="仿宋" w:cs="Times New Roman"/>
          <w:color w:val="000000"/>
          <w:sz w:val="32"/>
          <w:szCs w:val="32"/>
        </w:rPr>
        <w:t>小时内提供书面说明，并提交相关证明材料，供应商不能证明其报价合理性的，</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小组应当将其作为无效处理。</w:t>
      </w:r>
    </w:p>
    <w:p w14:paraId="073A6D56">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14:paraId="52F366AB">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供应商书面说明应当签字确认或者加盖公章，否则无效。书面说明的签字确认，由其法定代表人/主要负责人/本人或者其授权代表签字确认。</w:t>
      </w:r>
    </w:p>
    <w:p w14:paraId="274FA2D9">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供应商提供书面说明后，</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小组应当将其响应文件作为无效处理。</w:t>
      </w:r>
    </w:p>
    <w:p w14:paraId="57A29548">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zh-CN"/>
        </w:rPr>
        <w:t>七</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工作纪律和注意事项。在</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活动中，供应商、</w:t>
      </w:r>
      <w:r>
        <w:rPr>
          <w:rFonts w:hint="default" w:ascii="Times New Roman" w:hAnsi="Times New Roman" w:eastAsia="仿宋" w:cs="Times New Roman"/>
          <w:color w:val="000000"/>
          <w:sz w:val="32"/>
          <w:szCs w:val="32"/>
          <w:lang w:eastAsia="zh-CN"/>
        </w:rPr>
        <w:t>评审</w:t>
      </w:r>
      <w:r>
        <w:rPr>
          <w:rFonts w:hint="default" w:ascii="Times New Roman" w:hAnsi="Times New Roman" w:eastAsia="仿宋" w:cs="Times New Roman"/>
          <w:color w:val="000000"/>
          <w:sz w:val="32"/>
          <w:szCs w:val="32"/>
        </w:rPr>
        <w:t>成员、组织</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工作的有关工作人员应严格遵守相关纪律规定，注意以下事项：</w:t>
      </w:r>
    </w:p>
    <w:p w14:paraId="12B7A47D">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不得泄露</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活动在应当保密的情况和资料，不得与供应商串通损害国家利益、社会公共利益或者他人合法权益。</w:t>
      </w:r>
    </w:p>
    <w:p w14:paraId="4C987E07">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供应商不得相互串通报价；不得向</w:t>
      </w:r>
      <w:r>
        <w:rPr>
          <w:rFonts w:hint="default" w:ascii="Times New Roman" w:hAnsi="Times New Roman" w:eastAsia="仿宋" w:cs="Times New Roman"/>
          <w:color w:val="000000"/>
          <w:sz w:val="32"/>
          <w:szCs w:val="32"/>
          <w:lang w:eastAsia="zh-CN"/>
        </w:rPr>
        <w:t>评审</w:t>
      </w:r>
      <w:r>
        <w:rPr>
          <w:rFonts w:hint="default" w:ascii="Times New Roman" w:hAnsi="Times New Roman" w:eastAsia="仿宋" w:cs="Times New Roman"/>
          <w:color w:val="000000"/>
          <w:sz w:val="32"/>
          <w:szCs w:val="32"/>
        </w:rPr>
        <w:t>成员行贿谋取成交；不得以他人名义或者其他方式弄虚作假骗取成交；不得以任何方式干扰、影响</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活动。</w:t>
      </w:r>
    </w:p>
    <w:p w14:paraId="45C8C501">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eastAsia="zh-CN"/>
        </w:rPr>
        <w:t>评审</w:t>
      </w:r>
      <w:r>
        <w:rPr>
          <w:rFonts w:hint="default" w:ascii="Times New Roman" w:hAnsi="Times New Roman" w:eastAsia="仿宋" w:cs="Times New Roman"/>
          <w:color w:val="000000"/>
          <w:sz w:val="32"/>
          <w:szCs w:val="32"/>
        </w:rPr>
        <w:t>成员不得收受他人财物或者其他好处，不得向他人透露</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活动中的各个细节和标准情况。在</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活动中，不得擅离职守，影响</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活动的进行，不得使用本</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文件规定以外的因素和标准进行评审、比较。</w:t>
      </w:r>
    </w:p>
    <w:p w14:paraId="3BA24572">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default" w:ascii="Times New Roman" w:hAnsi="Times New Roman" w:eastAsia="仿宋" w:cs="Times New Roman"/>
          <w:color w:val="000000"/>
          <w:sz w:val="24"/>
        </w:rPr>
      </w:pPr>
      <w:r>
        <w:rPr>
          <w:rFonts w:hint="default" w:ascii="Times New Roman" w:hAnsi="Times New Roman" w:eastAsia="仿宋" w:cs="Times New Roman"/>
          <w:color w:val="000000"/>
          <w:sz w:val="32"/>
          <w:szCs w:val="32"/>
        </w:rPr>
        <w:t>4</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组织</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的工作人员不得收受他人的财物或者其他好处，不得向他人透露</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活动中各有关细节及推荐评审情况。在</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活动中不得擅离职守，影响</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活动的正常进行。</w:t>
      </w:r>
    </w:p>
    <w:p w14:paraId="4DCBD579">
      <w:pPr>
        <w:pStyle w:val="8"/>
        <w:ind w:left="0" w:leftChars="0" w:firstLine="0" w:firstLineChars="0"/>
        <w:rPr>
          <w:rFonts w:hint="eastAsia" w:ascii="黑体" w:hAnsi="黑体" w:eastAsia="黑体" w:cs="黑体"/>
          <w:lang w:eastAsia="zh-CN"/>
        </w:rPr>
      </w:pPr>
    </w:p>
    <w:p w14:paraId="5DFB5C74">
      <w:pPr>
        <w:rPr>
          <w:rFonts w:hint="eastAsia" w:ascii="黑体" w:hAnsi="黑体" w:eastAsia="黑体" w:cs="黑体"/>
          <w:lang w:val="en-US" w:eastAsia="zh-CN"/>
        </w:rPr>
      </w:pPr>
    </w:p>
    <w:p w14:paraId="1D40CFA8">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14:paraId="681A9A93">
      <w:pPr>
        <w:spacing w:line="360" w:lineRule="auto"/>
        <w:jc w:val="left"/>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（采购封面）</w:t>
      </w:r>
    </w:p>
    <w:p w14:paraId="30AC12BD">
      <w:pPr>
        <w:spacing w:line="360" w:lineRule="auto"/>
        <w:jc w:val="center"/>
        <w:rPr>
          <w:rFonts w:hint="eastAsia" w:ascii="黑体" w:hAnsi="黑体" w:eastAsia="黑体" w:cs="黑体"/>
          <w:b w:val="0"/>
          <w:bCs/>
          <w:sz w:val="84"/>
          <w:szCs w:val="84"/>
          <w:lang w:eastAsia="zh-CN"/>
        </w:rPr>
      </w:pPr>
      <w:r>
        <w:rPr>
          <w:rFonts w:hint="eastAsia" w:ascii="黑体" w:hAnsi="黑体" w:eastAsia="黑体" w:cs="黑体"/>
          <w:b w:val="0"/>
          <w:bCs/>
          <w:sz w:val="48"/>
          <w:szCs w:val="48"/>
          <w:lang w:val="en-US" w:eastAsia="zh-CN"/>
        </w:rPr>
        <w:t>乐山市五通桥区人民医院</w:t>
      </w:r>
    </w:p>
    <w:p w14:paraId="18DFDB8D">
      <w:pPr>
        <w:rPr>
          <w:rFonts w:hint="eastAsia"/>
          <w:lang w:eastAsia="zh-CN"/>
        </w:rPr>
      </w:pPr>
    </w:p>
    <w:p w14:paraId="3D05D81B">
      <w:pPr>
        <w:rPr>
          <w:rFonts w:hint="eastAsia"/>
          <w:lang w:eastAsia="zh-CN"/>
        </w:rPr>
      </w:pPr>
    </w:p>
    <w:p w14:paraId="28765C43">
      <w:pPr>
        <w:pStyle w:val="6"/>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采购响应文件</w:t>
      </w:r>
    </w:p>
    <w:p w14:paraId="242CE146">
      <w:pPr>
        <w:pStyle w:val="2"/>
        <w:rPr>
          <w:rFonts w:hint="eastAsia" w:ascii="黑体" w:hAnsi="黑体" w:eastAsia="黑体" w:cs="黑体"/>
          <w:sz w:val="84"/>
          <w:szCs w:val="84"/>
          <w:lang w:val="en-US" w:eastAsia="zh-CN"/>
        </w:rPr>
      </w:pPr>
    </w:p>
    <w:p w14:paraId="4D0A348D">
      <w:pPr>
        <w:rPr>
          <w:rFonts w:hint="eastAsia"/>
          <w:lang w:val="en-US" w:eastAsia="zh-CN"/>
        </w:rPr>
      </w:pPr>
    </w:p>
    <w:p w14:paraId="08D29A2A">
      <w:pPr>
        <w:pStyle w:val="6"/>
        <w:rPr>
          <w:rFonts w:hint="eastAsia" w:ascii="黑体" w:hAnsi="黑体" w:eastAsia="黑体" w:cs="黑体"/>
          <w:lang w:val="en-US" w:eastAsia="zh-CN"/>
        </w:rPr>
      </w:pPr>
    </w:p>
    <w:p w14:paraId="76C1C0D9">
      <w:pPr>
        <w:spacing w:line="400" w:lineRule="exact"/>
        <w:rPr>
          <w:rFonts w:hint="eastAsia" w:ascii="黑体" w:hAnsi="黑体" w:eastAsia="黑体" w:cs="黑体"/>
          <w:sz w:val="84"/>
          <w:szCs w:val="84"/>
        </w:rPr>
      </w:pPr>
    </w:p>
    <w:p w14:paraId="58F67AEF">
      <w:pPr>
        <w:spacing w:line="400" w:lineRule="exact"/>
        <w:rPr>
          <w:rFonts w:hint="eastAsia" w:ascii="黑体" w:hAnsi="黑体" w:eastAsia="黑体" w:cs="黑体"/>
          <w:b w:val="0"/>
          <w:bCs w:val="0"/>
          <w:sz w:val="30"/>
          <w:szCs w:val="30"/>
        </w:rPr>
      </w:pPr>
    </w:p>
    <w:p w14:paraId="291E71FA">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项目名称：</w:t>
      </w:r>
      <w:r>
        <w:rPr>
          <w:rFonts w:hint="eastAsia" w:ascii="黑体" w:hAnsi="黑体" w:eastAsia="黑体" w:cs="黑体"/>
          <w:b w:val="0"/>
          <w:bCs w:val="0"/>
          <w:sz w:val="32"/>
          <w:szCs w:val="32"/>
          <w:u w:val="single"/>
        </w:rPr>
        <w:t xml:space="preserve">                               </w:t>
      </w:r>
    </w:p>
    <w:p w14:paraId="6BB12F8F">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黑体" w:hAnsi="黑体" w:eastAsia="黑体" w:cs="黑体"/>
          <w:b w:val="0"/>
          <w:bCs w:val="0"/>
          <w:sz w:val="32"/>
          <w:szCs w:val="32"/>
          <w:u w:val="single"/>
        </w:rPr>
      </w:pPr>
      <w:r>
        <w:rPr>
          <w:rFonts w:hint="eastAsia" w:ascii="黑体" w:hAnsi="黑体" w:eastAsia="黑体" w:cs="黑体"/>
          <w:b w:val="0"/>
          <w:bCs w:val="0"/>
          <w:sz w:val="32"/>
          <w:szCs w:val="32"/>
          <w:lang w:eastAsia="zh-CN"/>
        </w:rPr>
        <w:t>供应</w:t>
      </w:r>
      <w:r>
        <w:rPr>
          <w:rFonts w:hint="eastAsia" w:ascii="黑体" w:hAnsi="黑体" w:eastAsia="黑体" w:cs="黑体"/>
          <w:b w:val="0"/>
          <w:bCs w:val="0"/>
          <w:sz w:val="32"/>
          <w:szCs w:val="32"/>
        </w:rPr>
        <w:t>商名称</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rPr>
        <w:t>（盖章）</w:t>
      </w:r>
    </w:p>
    <w:p w14:paraId="16BF458A">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法定代表人或授权代表：</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rPr>
        <w:t>（签字或加盖个人名章）</w:t>
      </w:r>
    </w:p>
    <w:p w14:paraId="1EB7592E">
      <w:pPr>
        <w:pStyle w:val="2"/>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eastAsia="黑体"/>
          <w:b w:val="0"/>
          <w:bCs w:val="0"/>
          <w:u w:val="single"/>
          <w:lang w:val="en-US" w:eastAsia="zh-CN"/>
        </w:rPr>
      </w:pPr>
      <w:r>
        <w:rPr>
          <w:rFonts w:hint="eastAsia" w:ascii="黑体" w:hAnsi="黑体" w:eastAsia="黑体" w:cs="黑体"/>
          <w:b w:val="0"/>
          <w:bCs w:val="0"/>
          <w:sz w:val="32"/>
          <w:szCs w:val="32"/>
          <w:lang w:val="en-US" w:eastAsia="zh-CN"/>
        </w:rPr>
        <w:t>联系人及联系电话：</w:t>
      </w:r>
      <w:r>
        <w:rPr>
          <w:rFonts w:hint="eastAsia" w:ascii="黑体" w:hAnsi="黑体" w:eastAsia="黑体" w:cs="黑体"/>
          <w:b w:val="0"/>
          <w:bCs w:val="0"/>
          <w:sz w:val="32"/>
          <w:szCs w:val="32"/>
          <w:u w:val="single"/>
          <w:lang w:val="en-US" w:eastAsia="zh-CN"/>
        </w:rPr>
        <w:t xml:space="preserve">                       </w:t>
      </w:r>
    </w:p>
    <w:p w14:paraId="2DA842FC">
      <w:pPr>
        <w:widowControl w:val="0"/>
        <w:adjustRightInd/>
        <w:spacing w:line="360" w:lineRule="auto"/>
        <w:ind w:firstLine="315" w:firstLineChars="98"/>
        <w:rPr>
          <w:rFonts w:hint="eastAsia" w:ascii="黑体" w:hAnsi="黑体" w:eastAsia="黑体" w:cs="黑体"/>
          <w:b/>
          <w:bCs/>
          <w:sz w:val="32"/>
          <w:szCs w:val="32"/>
        </w:rPr>
      </w:pPr>
    </w:p>
    <w:p w14:paraId="235C8610">
      <w:pPr>
        <w:pStyle w:val="2"/>
        <w:rPr>
          <w:rFonts w:hint="eastAsia" w:ascii="黑体" w:hAnsi="黑体" w:eastAsia="黑体" w:cs="黑体"/>
          <w:b/>
          <w:bCs/>
          <w:sz w:val="32"/>
          <w:szCs w:val="32"/>
        </w:rPr>
      </w:pPr>
    </w:p>
    <w:p w14:paraId="5B7D345C">
      <w:pPr>
        <w:rPr>
          <w:rFonts w:hint="eastAsia"/>
        </w:rPr>
      </w:pPr>
    </w:p>
    <w:p w14:paraId="7FE12648">
      <w:pPr>
        <w:pStyle w:val="2"/>
        <w:rPr>
          <w:rFonts w:hint="eastAsia"/>
        </w:rPr>
      </w:pPr>
    </w:p>
    <w:p w14:paraId="7CC6881A">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14:paraId="5E35BFC4">
      <w:pPr>
        <w:rPr>
          <w:rFonts w:hint="eastAsia" w:ascii="黑体" w:hAnsi="黑体" w:eastAsia="黑体" w:cs="黑体"/>
          <w:b/>
          <w:bCs/>
          <w:sz w:val="32"/>
          <w:szCs w:val="32"/>
        </w:rPr>
      </w:pPr>
      <w:bookmarkStart w:id="0" w:name="_Toc9490"/>
      <w:bookmarkStart w:id="1" w:name="_Toc18458"/>
      <w:bookmarkStart w:id="2" w:name="_Toc25737"/>
      <w:bookmarkStart w:id="3" w:name="_Toc5773"/>
      <w:r>
        <w:rPr>
          <w:rFonts w:hint="eastAsia" w:ascii="黑体" w:hAnsi="黑体" w:eastAsia="黑体" w:cs="黑体"/>
          <w:b/>
          <w:bCs/>
          <w:sz w:val="32"/>
          <w:szCs w:val="32"/>
        </w:rPr>
        <w:br w:type="page"/>
      </w:r>
    </w:p>
    <w:bookmarkEnd w:id="0"/>
    <w:bookmarkEnd w:id="1"/>
    <w:bookmarkEnd w:id="2"/>
    <w:bookmarkEnd w:id="3"/>
    <w:p w14:paraId="0D0F93A1">
      <w:pPr>
        <w:numPr>
          <w:ilvl w:val="0"/>
          <w:numId w:val="2"/>
        </w:numPr>
        <w:jc w:val="center"/>
        <w:rPr>
          <w:rFonts w:hint="eastAsia" w:ascii="黑体" w:hAnsi="黑体" w:eastAsia="黑体" w:cs="黑体"/>
          <w:b/>
          <w:sz w:val="36"/>
          <w:szCs w:val="36"/>
          <w:lang w:val="en-US" w:eastAsia="zh-CN"/>
        </w:rPr>
      </w:pPr>
      <w:bookmarkStart w:id="4" w:name="_Toc4003"/>
      <w:bookmarkStart w:id="5" w:name="_Toc17549"/>
      <w:bookmarkStart w:id="6" w:name="_Toc12449"/>
      <w:bookmarkStart w:id="7" w:name="_Toc439699516"/>
      <w:r>
        <w:rPr>
          <w:rFonts w:hint="eastAsia" w:ascii="黑体" w:hAnsi="黑体" w:eastAsia="黑体" w:cs="黑体"/>
          <w:b/>
          <w:sz w:val="36"/>
          <w:szCs w:val="36"/>
          <w:lang w:val="en-US" w:eastAsia="zh-CN"/>
        </w:rPr>
        <w:t>采购资质要求</w:t>
      </w:r>
    </w:p>
    <w:p w14:paraId="4A29D215">
      <w:pPr>
        <w:pStyle w:val="6"/>
        <w:rPr>
          <w:rFonts w:hint="eastAsia" w:ascii="黑体" w:hAnsi="黑体" w:eastAsia="黑体" w:cs="黑体"/>
          <w:b/>
          <w:sz w:val="36"/>
          <w:szCs w:val="36"/>
          <w:lang w:val="en-US" w:eastAsia="zh-CN"/>
        </w:rPr>
      </w:pPr>
    </w:p>
    <w:p w14:paraId="7961E042">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8"/>
        <w:tblpPr w:leftFromText="180" w:rightFromText="180" w:vertAnchor="text" w:horzAnchor="page" w:tblpX="1302"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1"/>
        <w:gridCol w:w="1035"/>
        <w:gridCol w:w="1698"/>
      </w:tblGrid>
      <w:tr w14:paraId="1860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14:paraId="72A9E62C">
            <w:pPr>
              <w:snapToGrid w:val="0"/>
              <w:spacing w:line="240" w:lineRule="auto"/>
              <w:contextualSpacing/>
              <w:rPr>
                <w:rFonts w:hint="default" w:ascii="Times New Roman" w:hAnsi="Times New Roman" w:eastAsia="仿宋" w:cs="Times New Roman"/>
                <w:color w:val="auto"/>
                <w:spacing w:val="2"/>
                <w:sz w:val="32"/>
                <w:szCs w:val="32"/>
                <w:lang w:eastAsia="zh-CN"/>
              </w:rPr>
            </w:pPr>
            <w:r>
              <w:rPr>
                <w:rFonts w:hint="default" w:ascii="Times New Roman" w:hAnsi="Times New Roman" w:eastAsia="仿宋" w:cs="Times New Roman"/>
                <w:color w:val="auto"/>
                <w:spacing w:val="2"/>
                <w:sz w:val="32"/>
                <w:szCs w:val="32"/>
                <w:lang w:eastAsia="zh-CN"/>
              </w:rPr>
              <w:t>序号</w:t>
            </w:r>
          </w:p>
        </w:tc>
        <w:tc>
          <w:tcPr>
            <w:tcW w:w="3176" w:type="pct"/>
            <w:noWrap w:val="0"/>
            <w:vAlign w:val="center"/>
          </w:tcPr>
          <w:p w14:paraId="0391E5DC">
            <w:pPr>
              <w:snapToGrid w:val="0"/>
              <w:spacing w:line="240" w:lineRule="auto"/>
              <w:contextualSpacing/>
              <w:rPr>
                <w:rFonts w:hint="default" w:ascii="Times New Roman" w:hAnsi="Times New Roman" w:eastAsia="仿宋" w:cs="Times New Roman"/>
                <w:color w:val="auto"/>
                <w:spacing w:val="2"/>
                <w:sz w:val="32"/>
                <w:szCs w:val="32"/>
                <w:lang w:eastAsia="zh-CN"/>
              </w:rPr>
            </w:pPr>
            <w:r>
              <w:rPr>
                <w:rFonts w:hint="default" w:ascii="Times New Roman" w:hAnsi="Times New Roman" w:eastAsia="仿宋" w:cs="Times New Roman"/>
                <w:color w:val="auto"/>
                <w:spacing w:val="2"/>
                <w:sz w:val="32"/>
                <w:szCs w:val="32"/>
                <w:lang w:eastAsia="zh-CN"/>
              </w:rPr>
              <w:t>审查项目</w:t>
            </w:r>
          </w:p>
        </w:tc>
        <w:tc>
          <w:tcPr>
            <w:tcW w:w="512" w:type="pct"/>
            <w:noWrap w:val="0"/>
            <w:vAlign w:val="center"/>
          </w:tcPr>
          <w:p w14:paraId="084720F5">
            <w:pPr>
              <w:snapToGrid w:val="0"/>
              <w:spacing w:line="240" w:lineRule="auto"/>
              <w:contextualSpacing/>
              <w:jc w:val="center"/>
              <w:rPr>
                <w:rFonts w:hint="default" w:ascii="Times New Roman" w:hAnsi="Times New Roman" w:eastAsia="仿宋" w:cs="Times New Roman"/>
                <w:color w:val="auto"/>
                <w:spacing w:val="2"/>
                <w:sz w:val="32"/>
                <w:szCs w:val="32"/>
                <w:lang w:eastAsia="zh-CN"/>
              </w:rPr>
            </w:pPr>
            <w:r>
              <w:rPr>
                <w:rFonts w:hint="default" w:ascii="Times New Roman" w:hAnsi="Times New Roman" w:eastAsia="仿宋" w:cs="Times New Roman"/>
                <w:color w:val="auto"/>
                <w:spacing w:val="2"/>
                <w:sz w:val="32"/>
                <w:szCs w:val="32"/>
                <w:lang w:eastAsia="zh-CN"/>
              </w:rPr>
              <w:t>合格条件</w:t>
            </w:r>
          </w:p>
        </w:tc>
        <w:tc>
          <w:tcPr>
            <w:tcW w:w="840" w:type="pct"/>
            <w:noWrap w:val="0"/>
            <w:vAlign w:val="center"/>
          </w:tcPr>
          <w:p w14:paraId="33D8A8C0">
            <w:pPr>
              <w:snapToGrid w:val="0"/>
              <w:spacing w:line="240" w:lineRule="auto"/>
              <w:contextualSpacing/>
              <w:rPr>
                <w:rFonts w:hint="default" w:ascii="Times New Roman" w:hAnsi="Times New Roman" w:eastAsia="仿宋" w:cs="Times New Roman"/>
                <w:color w:val="auto"/>
                <w:spacing w:val="2"/>
                <w:sz w:val="32"/>
                <w:szCs w:val="32"/>
                <w:lang w:eastAsia="zh-CN"/>
              </w:rPr>
            </w:pPr>
            <w:r>
              <w:rPr>
                <w:rFonts w:hint="default" w:ascii="Times New Roman" w:hAnsi="Times New Roman" w:eastAsia="仿宋" w:cs="Times New Roman"/>
                <w:color w:val="auto"/>
                <w:spacing w:val="2"/>
                <w:sz w:val="32"/>
                <w:szCs w:val="32"/>
                <w:lang w:eastAsia="zh-CN"/>
              </w:rPr>
              <w:t>备注</w:t>
            </w:r>
          </w:p>
        </w:tc>
      </w:tr>
      <w:tr w14:paraId="07A8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471" w:type="pct"/>
            <w:noWrap w:val="0"/>
            <w:vAlign w:val="center"/>
          </w:tcPr>
          <w:p w14:paraId="7DB49BEE">
            <w:pPr>
              <w:snapToGrid w:val="0"/>
              <w:spacing w:line="240" w:lineRule="auto"/>
              <w:contextualSpacing/>
              <w:rPr>
                <w:rFonts w:hint="default" w:ascii="Times New Roman" w:hAnsi="Times New Roman" w:eastAsia="仿宋" w:cs="Times New Roman"/>
                <w:color w:val="auto"/>
                <w:spacing w:val="2"/>
                <w:sz w:val="32"/>
                <w:szCs w:val="32"/>
                <w:lang w:eastAsia="zh-CN"/>
              </w:rPr>
            </w:pPr>
            <w:r>
              <w:rPr>
                <w:rFonts w:hint="default" w:ascii="Times New Roman" w:hAnsi="Times New Roman" w:eastAsia="仿宋" w:cs="Times New Roman"/>
                <w:color w:val="auto"/>
                <w:spacing w:val="2"/>
                <w:sz w:val="32"/>
                <w:szCs w:val="32"/>
                <w:lang w:eastAsia="zh-CN"/>
              </w:rPr>
              <w:t>1</w:t>
            </w:r>
          </w:p>
        </w:tc>
        <w:tc>
          <w:tcPr>
            <w:tcW w:w="3176" w:type="pct"/>
            <w:noWrap w:val="0"/>
            <w:vAlign w:val="center"/>
          </w:tcPr>
          <w:p w14:paraId="703AD706">
            <w:pPr>
              <w:snapToGrid w:val="0"/>
              <w:spacing w:line="240" w:lineRule="auto"/>
              <w:contextualSpacing/>
              <w:rPr>
                <w:rFonts w:hint="default" w:ascii="Times New Roman" w:hAnsi="Times New Roman" w:eastAsia="仿宋" w:cs="Times New Roman"/>
                <w:color w:val="000000"/>
                <w:spacing w:val="2"/>
                <w:sz w:val="32"/>
                <w:szCs w:val="32"/>
                <w:lang w:eastAsia="zh-CN"/>
              </w:rPr>
            </w:pPr>
            <w:r>
              <w:rPr>
                <w:rFonts w:hint="default" w:ascii="Times New Roman" w:hAnsi="Times New Roman" w:eastAsia="仿宋" w:cs="Times New Roman"/>
                <w:color w:val="000000"/>
                <w:spacing w:val="2"/>
                <w:sz w:val="32"/>
                <w:szCs w:val="32"/>
                <w:lang w:eastAsia="zh-CN"/>
              </w:rPr>
              <w:t>供应商有效的企业法人营业执照副本、税务登记证、组织机构代码证副本、医疗器械经营许可证等有效证件复印件（若供应商已办理三证合一的，则只需提供有效的三证合一证书）；</w:t>
            </w:r>
          </w:p>
          <w:p w14:paraId="68F791A1">
            <w:pPr>
              <w:snapToGrid w:val="0"/>
              <w:spacing w:line="240" w:lineRule="auto"/>
              <w:contextualSpacing/>
              <w:rPr>
                <w:rFonts w:hint="default" w:ascii="Times New Roman" w:hAnsi="Times New Roman" w:eastAsia="仿宋" w:cs="Times New Roman"/>
                <w:color w:val="auto"/>
                <w:spacing w:val="2"/>
                <w:sz w:val="32"/>
                <w:szCs w:val="32"/>
                <w:lang w:eastAsia="zh-CN"/>
              </w:rPr>
            </w:pPr>
            <w:r>
              <w:rPr>
                <w:rFonts w:hint="default" w:ascii="Times New Roman" w:hAnsi="Times New Roman" w:eastAsia="仿宋" w:cs="Times New Roman"/>
                <w:color w:val="000000"/>
                <w:spacing w:val="2"/>
                <w:sz w:val="32"/>
                <w:szCs w:val="32"/>
                <w:lang w:eastAsia="zh-CN"/>
              </w:rPr>
              <w:t>生产企业资质（营业执照、医疗器械生产许可证、产品注册证（备案凭证）/消毒产品生产企业卫生许可证、消毒产品安全评价报告）（如为生产企业直销的需提供生产企业的经营许可证、）(进口产品需附相应报关单)。</w:t>
            </w:r>
          </w:p>
        </w:tc>
        <w:tc>
          <w:tcPr>
            <w:tcW w:w="512" w:type="pct"/>
            <w:noWrap w:val="0"/>
            <w:vAlign w:val="center"/>
          </w:tcPr>
          <w:p w14:paraId="723478EC">
            <w:pPr>
              <w:snapToGrid w:val="0"/>
              <w:spacing w:line="240" w:lineRule="auto"/>
              <w:contextualSpacing/>
              <w:rPr>
                <w:rFonts w:hint="default" w:ascii="Times New Roman" w:hAnsi="Times New Roman" w:eastAsia="仿宋" w:cs="Times New Roman"/>
                <w:color w:val="auto"/>
                <w:spacing w:val="2"/>
                <w:sz w:val="32"/>
                <w:szCs w:val="32"/>
                <w:lang w:eastAsia="zh-CN"/>
              </w:rPr>
            </w:pPr>
            <w:r>
              <w:rPr>
                <w:rFonts w:hint="default" w:ascii="Times New Roman" w:hAnsi="Times New Roman" w:eastAsia="仿宋" w:cs="Times New Roman"/>
                <w:color w:val="auto"/>
                <w:spacing w:val="2"/>
                <w:sz w:val="32"/>
                <w:szCs w:val="32"/>
                <w:lang w:eastAsia="zh-CN"/>
              </w:rPr>
              <w:t>有效</w:t>
            </w:r>
          </w:p>
        </w:tc>
        <w:tc>
          <w:tcPr>
            <w:tcW w:w="840" w:type="pct"/>
            <w:noWrap w:val="0"/>
            <w:vAlign w:val="center"/>
          </w:tcPr>
          <w:p w14:paraId="0E04CE85">
            <w:pPr>
              <w:snapToGrid w:val="0"/>
              <w:spacing w:line="240" w:lineRule="auto"/>
              <w:contextualSpacing/>
              <w:rPr>
                <w:rFonts w:hint="default" w:ascii="Times New Roman" w:hAnsi="Times New Roman" w:eastAsia="仿宋" w:cs="Times New Roman"/>
                <w:color w:val="auto"/>
                <w:spacing w:val="2"/>
                <w:sz w:val="32"/>
                <w:szCs w:val="32"/>
                <w:lang w:eastAsia="zh-CN"/>
              </w:rPr>
            </w:pPr>
            <w:r>
              <w:rPr>
                <w:rFonts w:hint="default" w:ascii="Times New Roman" w:hAnsi="Times New Roman" w:eastAsia="仿宋" w:cs="Times New Roman"/>
                <w:color w:val="auto"/>
                <w:spacing w:val="2"/>
                <w:sz w:val="32"/>
                <w:szCs w:val="32"/>
                <w:lang w:eastAsia="zh-CN"/>
              </w:rPr>
              <w:t>复印件加盖公章</w:t>
            </w:r>
          </w:p>
        </w:tc>
      </w:tr>
      <w:tr w14:paraId="24DC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14:paraId="480C669D">
            <w:pPr>
              <w:snapToGrid w:val="0"/>
              <w:spacing w:line="240" w:lineRule="auto"/>
              <w:contextualSpacing/>
              <w:rPr>
                <w:rFonts w:hint="default" w:ascii="Times New Roman" w:hAnsi="Times New Roman" w:eastAsia="仿宋" w:cs="Times New Roman"/>
                <w:color w:val="auto"/>
                <w:spacing w:val="2"/>
                <w:sz w:val="32"/>
                <w:szCs w:val="32"/>
                <w:lang w:eastAsia="zh-CN"/>
              </w:rPr>
            </w:pPr>
            <w:r>
              <w:rPr>
                <w:rFonts w:hint="default" w:ascii="Times New Roman" w:hAnsi="Times New Roman" w:eastAsia="仿宋" w:cs="Times New Roman"/>
                <w:color w:val="auto"/>
                <w:spacing w:val="2"/>
                <w:sz w:val="32"/>
                <w:szCs w:val="32"/>
                <w:lang w:eastAsia="zh-CN"/>
              </w:rPr>
              <w:t>2</w:t>
            </w:r>
          </w:p>
        </w:tc>
        <w:tc>
          <w:tcPr>
            <w:tcW w:w="3176" w:type="pct"/>
            <w:noWrap w:val="0"/>
            <w:vAlign w:val="center"/>
          </w:tcPr>
          <w:p w14:paraId="49D87998">
            <w:pPr>
              <w:snapToGrid w:val="0"/>
              <w:spacing w:line="240" w:lineRule="auto"/>
              <w:contextualSpacing/>
              <w:rPr>
                <w:rFonts w:hint="default" w:ascii="Times New Roman" w:hAnsi="Times New Roman" w:eastAsia="仿宋" w:cs="Times New Roman"/>
                <w:color w:val="auto"/>
                <w:spacing w:val="2"/>
                <w:sz w:val="32"/>
                <w:szCs w:val="32"/>
                <w:lang w:eastAsia="zh-CN"/>
              </w:rPr>
            </w:pPr>
            <w:r>
              <w:rPr>
                <w:rFonts w:hint="default" w:ascii="Times New Roman" w:hAnsi="Times New Roman" w:eastAsia="仿宋" w:cs="Times New Roman"/>
                <w:color w:val="auto"/>
                <w:spacing w:val="2"/>
                <w:sz w:val="32"/>
                <w:szCs w:val="32"/>
                <w:lang w:eastAsia="zh-CN"/>
              </w:rPr>
              <w:t>提供承诺，购销廉洁、诚信承诺书。</w:t>
            </w:r>
          </w:p>
        </w:tc>
        <w:tc>
          <w:tcPr>
            <w:tcW w:w="512" w:type="pct"/>
            <w:noWrap w:val="0"/>
            <w:vAlign w:val="center"/>
          </w:tcPr>
          <w:p w14:paraId="331B585C">
            <w:pPr>
              <w:snapToGrid w:val="0"/>
              <w:spacing w:line="240" w:lineRule="auto"/>
              <w:contextualSpacing/>
              <w:rPr>
                <w:rFonts w:hint="default" w:ascii="Times New Roman" w:hAnsi="Times New Roman" w:eastAsia="仿宋" w:cs="Times New Roman"/>
                <w:color w:val="auto"/>
                <w:spacing w:val="2"/>
                <w:sz w:val="32"/>
                <w:szCs w:val="32"/>
                <w:lang w:eastAsia="zh-CN"/>
              </w:rPr>
            </w:pPr>
            <w:r>
              <w:rPr>
                <w:rFonts w:hint="default" w:ascii="Times New Roman" w:hAnsi="Times New Roman" w:eastAsia="仿宋" w:cs="Times New Roman"/>
                <w:color w:val="auto"/>
                <w:spacing w:val="2"/>
                <w:sz w:val="32"/>
                <w:szCs w:val="32"/>
                <w:lang w:eastAsia="zh-CN"/>
              </w:rPr>
              <w:t>有效</w:t>
            </w:r>
          </w:p>
        </w:tc>
        <w:tc>
          <w:tcPr>
            <w:tcW w:w="840" w:type="pct"/>
            <w:noWrap w:val="0"/>
            <w:vAlign w:val="center"/>
          </w:tcPr>
          <w:p w14:paraId="0A1B67D6">
            <w:pPr>
              <w:snapToGrid w:val="0"/>
              <w:spacing w:line="240" w:lineRule="auto"/>
              <w:contextualSpacing/>
              <w:rPr>
                <w:rFonts w:hint="default" w:ascii="Times New Roman" w:hAnsi="Times New Roman" w:eastAsia="仿宋" w:cs="Times New Roman"/>
                <w:color w:val="auto"/>
                <w:spacing w:val="2"/>
                <w:sz w:val="32"/>
                <w:szCs w:val="32"/>
                <w:lang w:eastAsia="zh-CN"/>
              </w:rPr>
            </w:pPr>
            <w:r>
              <w:rPr>
                <w:rFonts w:hint="default" w:ascii="Times New Roman" w:hAnsi="Times New Roman" w:eastAsia="仿宋" w:cs="Times New Roman"/>
                <w:color w:val="auto"/>
                <w:spacing w:val="2"/>
                <w:sz w:val="32"/>
                <w:szCs w:val="32"/>
                <w:lang w:val="en-US" w:eastAsia="zh-CN"/>
              </w:rPr>
              <w:t>盖章</w:t>
            </w:r>
          </w:p>
        </w:tc>
      </w:tr>
      <w:tr w14:paraId="6545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14:paraId="39E56C0D">
            <w:pPr>
              <w:snapToGrid w:val="0"/>
              <w:spacing w:line="240" w:lineRule="auto"/>
              <w:contextualSpacing/>
              <w:rPr>
                <w:rFonts w:hint="default" w:ascii="Times New Roman" w:hAnsi="Times New Roman" w:eastAsia="仿宋" w:cs="Times New Roman"/>
                <w:color w:val="auto"/>
                <w:spacing w:val="2"/>
                <w:sz w:val="32"/>
                <w:szCs w:val="32"/>
                <w:lang w:eastAsia="zh-CN"/>
              </w:rPr>
            </w:pPr>
            <w:r>
              <w:rPr>
                <w:rFonts w:hint="default" w:ascii="Times New Roman" w:hAnsi="Times New Roman" w:eastAsia="仿宋" w:cs="Times New Roman"/>
                <w:color w:val="auto"/>
                <w:spacing w:val="2"/>
                <w:sz w:val="32"/>
                <w:szCs w:val="32"/>
                <w:lang w:eastAsia="zh-CN"/>
              </w:rPr>
              <w:t>3</w:t>
            </w:r>
          </w:p>
        </w:tc>
        <w:tc>
          <w:tcPr>
            <w:tcW w:w="3176" w:type="pct"/>
            <w:noWrap w:val="0"/>
            <w:vAlign w:val="center"/>
          </w:tcPr>
          <w:p w14:paraId="2C4AF973">
            <w:pPr>
              <w:snapToGrid w:val="0"/>
              <w:spacing w:line="240" w:lineRule="auto"/>
              <w:contextualSpacing/>
              <w:rPr>
                <w:rFonts w:hint="default" w:ascii="Times New Roman" w:hAnsi="Times New Roman" w:eastAsia="仿宋" w:cs="Times New Roman"/>
                <w:color w:val="auto"/>
                <w:spacing w:val="2"/>
                <w:sz w:val="32"/>
                <w:szCs w:val="32"/>
                <w:lang w:val="en-US" w:eastAsia="zh-CN"/>
              </w:rPr>
            </w:pPr>
            <w:r>
              <w:rPr>
                <w:rFonts w:hint="default" w:ascii="Times New Roman" w:hAnsi="Times New Roman" w:eastAsia="仿宋" w:cs="Times New Roman"/>
                <w:color w:val="auto"/>
                <w:spacing w:val="2"/>
                <w:sz w:val="32"/>
                <w:szCs w:val="32"/>
                <w:lang w:val="en-US" w:eastAsia="zh-CN"/>
              </w:rPr>
              <w:t>2023年以来任意三个月的缴纳税收和社保资金证明材料（银行缴款证明或税收机关、社保机关盖章的证明文件）。</w:t>
            </w:r>
          </w:p>
        </w:tc>
        <w:tc>
          <w:tcPr>
            <w:tcW w:w="512" w:type="pct"/>
            <w:noWrap w:val="0"/>
            <w:vAlign w:val="center"/>
          </w:tcPr>
          <w:p w14:paraId="2773E11D">
            <w:pPr>
              <w:snapToGrid w:val="0"/>
              <w:spacing w:line="240" w:lineRule="auto"/>
              <w:contextualSpacing/>
              <w:rPr>
                <w:rFonts w:hint="default" w:ascii="Times New Roman" w:hAnsi="Times New Roman" w:eastAsia="仿宋" w:cs="Times New Roman"/>
                <w:color w:val="auto"/>
                <w:spacing w:val="2"/>
                <w:sz w:val="32"/>
                <w:szCs w:val="32"/>
                <w:lang w:eastAsia="zh-CN"/>
              </w:rPr>
            </w:pPr>
            <w:r>
              <w:rPr>
                <w:rFonts w:hint="default" w:ascii="Times New Roman" w:hAnsi="Times New Roman" w:eastAsia="仿宋" w:cs="Times New Roman"/>
                <w:color w:val="auto"/>
                <w:spacing w:val="2"/>
                <w:sz w:val="32"/>
                <w:szCs w:val="32"/>
                <w:lang w:eastAsia="zh-CN"/>
              </w:rPr>
              <w:t>有效</w:t>
            </w:r>
          </w:p>
        </w:tc>
        <w:tc>
          <w:tcPr>
            <w:tcW w:w="840" w:type="pct"/>
            <w:noWrap w:val="0"/>
            <w:vAlign w:val="center"/>
          </w:tcPr>
          <w:p w14:paraId="6C7BF140">
            <w:pPr>
              <w:snapToGrid w:val="0"/>
              <w:spacing w:line="240" w:lineRule="auto"/>
              <w:contextualSpacing/>
              <w:rPr>
                <w:rFonts w:hint="default" w:ascii="Times New Roman" w:hAnsi="Times New Roman" w:eastAsia="仿宋" w:cs="Times New Roman"/>
                <w:color w:val="auto"/>
                <w:spacing w:val="2"/>
                <w:sz w:val="32"/>
                <w:szCs w:val="32"/>
                <w:lang w:eastAsia="zh-CN"/>
              </w:rPr>
            </w:pPr>
            <w:r>
              <w:rPr>
                <w:rFonts w:hint="default" w:ascii="Times New Roman" w:hAnsi="Times New Roman" w:eastAsia="仿宋" w:cs="Times New Roman"/>
                <w:color w:val="auto"/>
                <w:spacing w:val="2"/>
                <w:sz w:val="32"/>
                <w:szCs w:val="32"/>
                <w:lang w:eastAsia="zh-CN"/>
              </w:rPr>
              <w:t>复印件加盖公章</w:t>
            </w:r>
          </w:p>
        </w:tc>
      </w:tr>
      <w:tr w14:paraId="3D76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14:paraId="4DB66220">
            <w:pPr>
              <w:snapToGrid w:val="0"/>
              <w:spacing w:line="240" w:lineRule="auto"/>
              <w:contextualSpacing/>
              <w:rPr>
                <w:rFonts w:hint="default" w:ascii="Times New Roman" w:hAnsi="Times New Roman" w:eastAsia="仿宋" w:cs="Times New Roman"/>
                <w:color w:val="auto"/>
                <w:spacing w:val="2"/>
                <w:sz w:val="32"/>
                <w:szCs w:val="32"/>
                <w:lang w:eastAsia="zh-CN"/>
              </w:rPr>
            </w:pPr>
            <w:r>
              <w:rPr>
                <w:rFonts w:hint="default" w:ascii="Times New Roman" w:hAnsi="Times New Roman" w:eastAsia="仿宋" w:cs="Times New Roman"/>
                <w:color w:val="auto"/>
                <w:spacing w:val="2"/>
                <w:sz w:val="32"/>
                <w:szCs w:val="32"/>
                <w:lang w:eastAsia="zh-CN"/>
              </w:rPr>
              <w:t>4</w:t>
            </w:r>
          </w:p>
        </w:tc>
        <w:tc>
          <w:tcPr>
            <w:tcW w:w="3176" w:type="pct"/>
            <w:noWrap w:val="0"/>
            <w:vAlign w:val="center"/>
          </w:tcPr>
          <w:p w14:paraId="411BAB7E">
            <w:pPr>
              <w:snapToGrid w:val="0"/>
              <w:spacing w:line="240" w:lineRule="auto"/>
              <w:contextualSpacing/>
              <w:rPr>
                <w:rFonts w:hint="default" w:ascii="Times New Roman" w:hAnsi="Times New Roman" w:eastAsia="仿宋" w:cs="Times New Roman"/>
                <w:color w:val="auto"/>
                <w:spacing w:val="2"/>
                <w:sz w:val="32"/>
                <w:szCs w:val="32"/>
                <w:lang w:eastAsia="zh-CN"/>
              </w:rPr>
            </w:pPr>
            <w:r>
              <w:rPr>
                <w:rFonts w:hint="default" w:ascii="Times New Roman" w:hAnsi="Times New Roman" w:eastAsia="仿宋" w:cs="Times New Roman"/>
                <w:color w:val="auto"/>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14:paraId="32DF1CDD">
            <w:pPr>
              <w:snapToGrid w:val="0"/>
              <w:spacing w:line="240" w:lineRule="auto"/>
              <w:contextualSpacing/>
              <w:rPr>
                <w:rFonts w:hint="default" w:ascii="Times New Roman" w:hAnsi="Times New Roman" w:eastAsia="仿宋" w:cs="Times New Roman"/>
                <w:color w:val="auto"/>
                <w:spacing w:val="2"/>
                <w:sz w:val="32"/>
                <w:szCs w:val="32"/>
                <w:lang w:eastAsia="zh-CN"/>
              </w:rPr>
            </w:pPr>
            <w:r>
              <w:rPr>
                <w:rFonts w:hint="default" w:ascii="Times New Roman" w:hAnsi="Times New Roman" w:eastAsia="仿宋" w:cs="Times New Roman"/>
                <w:color w:val="auto"/>
                <w:spacing w:val="2"/>
                <w:sz w:val="32"/>
                <w:szCs w:val="32"/>
                <w:lang w:eastAsia="zh-CN"/>
              </w:rPr>
              <w:t>有效</w:t>
            </w:r>
          </w:p>
        </w:tc>
        <w:tc>
          <w:tcPr>
            <w:tcW w:w="840" w:type="pct"/>
            <w:noWrap w:val="0"/>
            <w:vAlign w:val="center"/>
          </w:tcPr>
          <w:p w14:paraId="33C91FA4">
            <w:pPr>
              <w:snapToGrid w:val="0"/>
              <w:spacing w:line="240" w:lineRule="auto"/>
              <w:contextualSpacing/>
              <w:rPr>
                <w:rFonts w:hint="default" w:ascii="Times New Roman" w:hAnsi="Times New Roman" w:eastAsia="仿宋" w:cs="Times New Roman"/>
                <w:color w:val="auto"/>
                <w:spacing w:val="2"/>
                <w:sz w:val="32"/>
                <w:szCs w:val="32"/>
                <w:lang w:eastAsia="zh-CN"/>
              </w:rPr>
            </w:pPr>
            <w:r>
              <w:rPr>
                <w:rFonts w:hint="default" w:ascii="Times New Roman" w:hAnsi="Times New Roman" w:eastAsia="仿宋" w:cs="Times New Roman"/>
                <w:color w:val="auto"/>
                <w:spacing w:val="2"/>
                <w:sz w:val="32"/>
                <w:szCs w:val="32"/>
                <w:lang w:eastAsia="zh-CN"/>
              </w:rPr>
              <w:t>盖章</w:t>
            </w:r>
          </w:p>
        </w:tc>
      </w:tr>
      <w:tr w14:paraId="3F84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14:paraId="3D2FD121">
            <w:pPr>
              <w:snapToGrid w:val="0"/>
              <w:spacing w:line="240" w:lineRule="auto"/>
              <w:contextualSpacing/>
              <w:rPr>
                <w:rFonts w:hint="default" w:ascii="Times New Roman" w:hAnsi="Times New Roman" w:eastAsia="仿宋" w:cs="Times New Roman"/>
                <w:color w:val="auto"/>
                <w:spacing w:val="2"/>
                <w:sz w:val="32"/>
                <w:szCs w:val="32"/>
                <w:lang w:eastAsia="zh-CN"/>
              </w:rPr>
            </w:pPr>
            <w:r>
              <w:rPr>
                <w:rFonts w:hint="default" w:ascii="Times New Roman" w:hAnsi="Times New Roman" w:eastAsia="仿宋" w:cs="Times New Roman"/>
                <w:color w:val="auto"/>
                <w:spacing w:val="2"/>
                <w:sz w:val="32"/>
                <w:szCs w:val="32"/>
                <w:lang w:eastAsia="zh-CN"/>
              </w:rPr>
              <w:t>5</w:t>
            </w:r>
          </w:p>
        </w:tc>
        <w:tc>
          <w:tcPr>
            <w:tcW w:w="3176" w:type="pct"/>
            <w:noWrap w:val="0"/>
            <w:vAlign w:val="center"/>
          </w:tcPr>
          <w:p w14:paraId="0DF5BC93">
            <w:pPr>
              <w:keepNext w:val="0"/>
              <w:keepLines w:val="0"/>
              <w:pageBreakBefore w:val="0"/>
              <w:widowControl w:val="0"/>
              <w:kinsoku/>
              <w:wordWrap/>
              <w:overflowPunct/>
              <w:topLinePunct w:val="0"/>
              <w:autoSpaceDE/>
              <w:autoSpaceDN/>
              <w:bidi w:val="0"/>
              <w:adjustRightInd/>
              <w:snapToGrid w:val="0"/>
              <w:spacing w:line="240" w:lineRule="auto"/>
              <w:contextualSpacing/>
              <w:textAlignment w:val="auto"/>
              <w:rPr>
                <w:rFonts w:hint="default" w:ascii="Times New Roman" w:hAnsi="Times New Roman" w:eastAsia="仿宋" w:cs="Times New Roman"/>
                <w:color w:val="auto"/>
                <w:spacing w:val="2"/>
                <w:sz w:val="32"/>
                <w:szCs w:val="32"/>
                <w:lang w:eastAsia="zh-CN"/>
              </w:rPr>
            </w:pPr>
            <w:r>
              <w:rPr>
                <w:rFonts w:hint="default" w:ascii="Times New Roman" w:hAnsi="Times New Roman" w:eastAsia="仿宋" w:cs="Times New Roman"/>
                <w:color w:val="auto"/>
                <w:spacing w:val="2"/>
                <w:sz w:val="32"/>
                <w:szCs w:val="32"/>
                <w:lang w:val="en-US" w:eastAsia="zh-CN"/>
              </w:rPr>
              <w:t>供</w:t>
            </w:r>
            <w:r>
              <w:rPr>
                <w:rFonts w:hint="default" w:ascii="Times New Roman" w:hAnsi="Times New Roman" w:eastAsia="仿宋" w:cs="Times New Roman"/>
                <w:color w:val="auto"/>
                <w:spacing w:val="2"/>
                <w:sz w:val="32"/>
                <w:szCs w:val="32"/>
                <w:lang w:eastAsia="zh-CN"/>
              </w:rPr>
              <w:t>应商通过“信用中国”(</w:t>
            </w:r>
            <w:r>
              <w:rPr>
                <w:rFonts w:hint="default" w:ascii="Times New Roman" w:hAnsi="Times New Roman" w:eastAsia="仿宋" w:cs="Times New Roman"/>
                <w:color w:val="auto"/>
                <w:spacing w:val="2"/>
                <w:sz w:val="32"/>
                <w:szCs w:val="32"/>
                <w:lang w:eastAsia="zh-CN"/>
              </w:rPr>
              <w:fldChar w:fldCharType="begin"/>
            </w:r>
            <w:r>
              <w:rPr>
                <w:rFonts w:hint="default" w:ascii="Times New Roman" w:hAnsi="Times New Roman" w:eastAsia="仿宋" w:cs="Times New Roman"/>
                <w:color w:val="auto"/>
                <w:spacing w:val="2"/>
                <w:sz w:val="32"/>
                <w:szCs w:val="32"/>
                <w:lang w:eastAsia="zh-CN"/>
              </w:rPr>
              <w:instrText xml:space="preserve"> HYPERLINK "http://www.creditchina.gov.cn)" </w:instrText>
            </w:r>
            <w:r>
              <w:rPr>
                <w:rFonts w:hint="default" w:ascii="Times New Roman" w:hAnsi="Times New Roman" w:eastAsia="仿宋" w:cs="Times New Roman"/>
                <w:color w:val="auto"/>
                <w:spacing w:val="2"/>
                <w:sz w:val="32"/>
                <w:szCs w:val="32"/>
                <w:lang w:eastAsia="zh-CN"/>
              </w:rPr>
              <w:fldChar w:fldCharType="separate"/>
            </w:r>
            <w:r>
              <w:rPr>
                <w:rFonts w:hint="default" w:ascii="Times New Roman" w:hAnsi="Times New Roman" w:eastAsia="仿宋" w:cs="Times New Roman"/>
                <w:color w:val="auto"/>
                <w:spacing w:val="2"/>
                <w:sz w:val="32"/>
                <w:szCs w:val="32"/>
                <w:lang w:eastAsia="zh-CN"/>
              </w:rPr>
              <w:t>www.creditchina.gov.cn)</w:t>
            </w:r>
            <w:r>
              <w:rPr>
                <w:rFonts w:hint="default" w:ascii="Times New Roman" w:hAnsi="Times New Roman" w:eastAsia="仿宋" w:cs="Times New Roman"/>
                <w:color w:val="auto"/>
                <w:spacing w:val="2"/>
                <w:sz w:val="32"/>
                <w:szCs w:val="32"/>
                <w:lang w:eastAsia="zh-CN"/>
              </w:rPr>
              <w:fldChar w:fldCharType="end"/>
            </w:r>
            <w:r>
              <w:rPr>
                <w:rFonts w:hint="default" w:ascii="Times New Roman" w:hAnsi="Times New Roman" w:eastAsia="仿宋" w:cs="Times New Roman"/>
                <w:color w:val="auto"/>
                <w:spacing w:val="2"/>
                <w:sz w:val="32"/>
                <w:szCs w:val="32"/>
                <w:lang w:eastAsia="zh-CN"/>
              </w:rPr>
              <w:t>、“中国政府采购网”(www.ccgp.gov.cn)网站查询公告发布之日起前三年的信用记录，无不良记录。</w:t>
            </w:r>
          </w:p>
        </w:tc>
        <w:tc>
          <w:tcPr>
            <w:tcW w:w="512" w:type="pct"/>
            <w:noWrap w:val="0"/>
            <w:vAlign w:val="center"/>
          </w:tcPr>
          <w:p w14:paraId="6AE6C0B1">
            <w:pPr>
              <w:snapToGrid w:val="0"/>
              <w:spacing w:line="240" w:lineRule="auto"/>
              <w:contextualSpacing/>
              <w:rPr>
                <w:rFonts w:hint="default" w:ascii="Times New Roman" w:hAnsi="Times New Roman" w:eastAsia="仿宋" w:cs="Times New Roman"/>
                <w:color w:val="auto"/>
                <w:spacing w:val="2"/>
                <w:sz w:val="32"/>
                <w:szCs w:val="32"/>
                <w:lang w:val="en-US" w:eastAsia="zh-CN"/>
              </w:rPr>
            </w:pPr>
            <w:r>
              <w:rPr>
                <w:rFonts w:hint="default" w:ascii="Times New Roman" w:hAnsi="Times New Roman" w:eastAsia="仿宋" w:cs="Times New Roman"/>
                <w:color w:val="auto"/>
                <w:spacing w:val="2"/>
                <w:sz w:val="32"/>
                <w:szCs w:val="32"/>
                <w:lang w:eastAsia="zh-CN"/>
              </w:rPr>
              <w:t>有效</w:t>
            </w:r>
          </w:p>
        </w:tc>
        <w:tc>
          <w:tcPr>
            <w:tcW w:w="840" w:type="pct"/>
            <w:noWrap w:val="0"/>
            <w:vAlign w:val="center"/>
          </w:tcPr>
          <w:p w14:paraId="55A1377B">
            <w:pPr>
              <w:snapToGrid w:val="0"/>
              <w:spacing w:line="240" w:lineRule="auto"/>
              <w:contextualSpacing/>
              <w:rPr>
                <w:rFonts w:hint="default" w:ascii="Times New Roman" w:hAnsi="Times New Roman" w:eastAsia="仿宋" w:cs="Times New Roman"/>
                <w:color w:val="auto"/>
                <w:spacing w:val="2"/>
                <w:sz w:val="32"/>
                <w:szCs w:val="32"/>
                <w:lang w:val="en-US" w:eastAsia="zh-CN"/>
              </w:rPr>
            </w:pPr>
            <w:r>
              <w:rPr>
                <w:rFonts w:hint="default" w:ascii="Times New Roman" w:hAnsi="Times New Roman" w:eastAsia="仿宋" w:cs="Times New Roman"/>
                <w:color w:val="auto"/>
                <w:spacing w:val="2"/>
                <w:sz w:val="32"/>
                <w:szCs w:val="32"/>
                <w:lang w:eastAsia="zh-CN"/>
              </w:rPr>
              <w:t>网页截图盖公章</w:t>
            </w:r>
          </w:p>
        </w:tc>
      </w:tr>
      <w:tr w14:paraId="4F52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71" w:type="pct"/>
            <w:shd w:val="clear" w:color="auto" w:fill="auto"/>
            <w:noWrap w:val="0"/>
            <w:vAlign w:val="center"/>
          </w:tcPr>
          <w:p w14:paraId="29C7EB52">
            <w:pPr>
              <w:tabs>
                <w:tab w:val="left" w:pos="308"/>
              </w:tabs>
              <w:snapToGrid w:val="0"/>
              <w:spacing w:line="240" w:lineRule="auto"/>
              <w:contextualSpacing/>
              <w:rPr>
                <w:rFonts w:hint="default" w:ascii="Times New Roman" w:hAnsi="Times New Roman" w:eastAsia="仿宋" w:cs="Times New Roman"/>
                <w:color w:val="auto"/>
                <w:spacing w:val="2"/>
                <w:kern w:val="2"/>
                <w:sz w:val="32"/>
                <w:szCs w:val="32"/>
                <w:lang w:val="en-US" w:eastAsia="zh-CN" w:bidi="ar-SA"/>
              </w:rPr>
            </w:pPr>
            <w:r>
              <w:rPr>
                <w:rFonts w:hint="default" w:ascii="Times New Roman" w:hAnsi="Times New Roman" w:eastAsia="仿宋" w:cs="Times New Roman"/>
                <w:color w:val="auto"/>
                <w:spacing w:val="2"/>
                <w:kern w:val="2"/>
                <w:sz w:val="32"/>
                <w:szCs w:val="32"/>
                <w:lang w:val="en-US" w:eastAsia="zh-CN" w:bidi="ar-SA"/>
              </w:rPr>
              <w:t>6</w:t>
            </w:r>
          </w:p>
        </w:tc>
        <w:tc>
          <w:tcPr>
            <w:tcW w:w="3176" w:type="pct"/>
            <w:shd w:val="clear" w:color="auto" w:fill="auto"/>
            <w:noWrap w:val="0"/>
            <w:vAlign w:val="center"/>
          </w:tcPr>
          <w:p w14:paraId="14112C4F">
            <w:pPr>
              <w:snapToGrid w:val="0"/>
              <w:spacing w:line="240" w:lineRule="auto"/>
              <w:contextualSpacing/>
              <w:rPr>
                <w:rFonts w:hint="default" w:ascii="Times New Roman" w:hAnsi="Times New Roman" w:eastAsia="仿宋" w:cs="Times New Roman"/>
                <w:color w:val="auto"/>
                <w:spacing w:val="2"/>
                <w:sz w:val="32"/>
                <w:szCs w:val="32"/>
                <w:lang w:val="en-US" w:eastAsia="zh-CN"/>
              </w:rPr>
            </w:pPr>
          </w:p>
        </w:tc>
        <w:tc>
          <w:tcPr>
            <w:tcW w:w="512" w:type="pct"/>
            <w:shd w:val="clear" w:color="auto" w:fill="auto"/>
            <w:noWrap w:val="0"/>
            <w:vAlign w:val="center"/>
          </w:tcPr>
          <w:p w14:paraId="2B4135C8">
            <w:pPr>
              <w:snapToGrid w:val="0"/>
              <w:spacing w:line="240" w:lineRule="auto"/>
              <w:contextualSpacing/>
              <w:rPr>
                <w:rFonts w:hint="default" w:ascii="Times New Roman" w:hAnsi="Times New Roman" w:eastAsia="仿宋" w:cs="Times New Roman"/>
                <w:color w:val="auto"/>
                <w:spacing w:val="2"/>
                <w:sz w:val="32"/>
                <w:szCs w:val="32"/>
                <w:lang w:val="en-US" w:eastAsia="zh-CN"/>
              </w:rPr>
            </w:pPr>
          </w:p>
        </w:tc>
        <w:tc>
          <w:tcPr>
            <w:tcW w:w="840" w:type="pct"/>
            <w:shd w:val="clear" w:color="auto" w:fill="auto"/>
            <w:noWrap w:val="0"/>
            <w:vAlign w:val="center"/>
          </w:tcPr>
          <w:p w14:paraId="306C8A66">
            <w:pPr>
              <w:snapToGrid w:val="0"/>
              <w:spacing w:line="240" w:lineRule="auto"/>
              <w:contextualSpacing/>
              <w:rPr>
                <w:rFonts w:hint="default" w:ascii="Times New Roman" w:hAnsi="Times New Roman" w:eastAsia="仿宋" w:cs="Times New Roman"/>
                <w:color w:val="auto"/>
                <w:spacing w:val="2"/>
                <w:sz w:val="32"/>
                <w:szCs w:val="32"/>
                <w:lang w:val="en-US" w:eastAsia="zh-CN"/>
              </w:rPr>
            </w:pPr>
          </w:p>
        </w:tc>
      </w:tr>
    </w:tbl>
    <w:p w14:paraId="7E786E70">
      <w:pPr>
        <w:pStyle w:val="7"/>
        <w:rPr>
          <w:rFonts w:hint="eastAsia" w:ascii="仿宋" w:hAnsi="仿宋" w:eastAsia="仿宋" w:cs="仿宋"/>
          <w:color w:val="auto"/>
          <w:sz w:val="30"/>
          <w:szCs w:val="30"/>
          <w:highlight w:val="none"/>
          <w:lang w:eastAsia="zh-CN"/>
        </w:rPr>
      </w:pPr>
    </w:p>
    <w:p w14:paraId="41FA36FB">
      <w:pPr>
        <w:rPr>
          <w:rFonts w:hint="eastAsia" w:ascii="仿宋" w:hAnsi="仿宋" w:eastAsia="仿宋" w:cs="仿宋"/>
          <w:color w:val="auto"/>
          <w:sz w:val="30"/>
          <w:szCs w:val="30"/>
          <w:highlight w:val="none"/>
          <w:lang w:eastAsia="zh-CN"/>
        </w:rPr>
      </w:pPr>
    </w:p>
    <w:p w14:paraId="1D280AC4">
      <w:pPr>
        <w:pStyle w:val="6"/>
        <w:rPr>
          <w:rFonts w:hint="eastAsia"/>
          <w:lang w:eastAsia="zh-CN"/>
        </w:rPr>
      </w:pPr>
    </w:p>
    <w:p w14:paraId="72384360">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14:paraId="79B76705">
      <w:pPr>
        <w:pStyle w:val="6"/>
        <w:rPr>
          <w:rFonts w:hint="eastAsia" w:ascii="黑体" w:hAnsi="黑体" w:eastAsia="黑体" w:cs="黑体"/>
          <w:sz w:val="28"/>
          <w:szCs w:val="28"/>
        </w:rPr>
      </w:pPr>
    </w:p>
    <w:p w14:paraId="0E053CAB">
      <w:pPr>
        <w:keepNext w:val="0"/>
        <w:keepLines w:val="0"/>
        <w:pageBreakBefore w:val="0"/>
        <w:kinsoku/>
        <w:overflowPunct/>
        <w:topLinePunct w:val="0"/>
        <w:autoSpaceDE/>
        <w:autoSpaceDN/>
        <w:bidi w:val="0"/>
        <w:adjustRightInd/>
        <w:snapToGrid w:val="0"/>
        <w:spacing w:line="560" w:lineRule="atLeast"/>
        <w:contextualSpacing/>
        <w:textAlignment w:val="auto"/>
        <w:rPr>
          <w:rFonts w:hint="default" w:ascii="Times New Roman" w:hAnsi="Times New Roman" w:eastAsia="仿宋" w:cs="Times New Roman"/>
          <w:color w:val="000000"/>
          <w:spacing w:val="2"/>
          <w:sz w:val="32"/>
          <w:szCs w:val="32"/>
          <w:lang w:eastAsia="zh-CN"/>
        </w:rPr>
      </w:pPr>
      <w:r>
        <w:rPr>
          <w:rFonts w:hint="default" w:ascii="Times New Roman" w:hAnsi="Times New Roman" w:eastAsia="仿宋" w:cs="Times New Roman"/>
          <w:color w:val="000000"/>
          <w:spacing w:val="2"/>
          <w:sz w:val="32"/>
          <w:szCs w:val="32"/>
        </w:rPr>
        <w:t>乐山市</w:t>
      </w:r>
      <w:r>
        <w:rPr>
          <w:rFonts w:hint="default" w:ascii="Times New Roman" w:hAnsi="Times New Roman" w:eastAsia="仿宋" w:cs="Times New Roman"/>
          <w:color w:val="000000"/>
          <w:spacing w:val="2"/>
          <w:sz w:val="32"/>
          <w:szCs w:val="32"/>
          <w:lang w:eastAsia="zh-CN"/>
        </w:rPr>
        <w:t>五通桥区人民医院：</w:t>
      </w:r>
    </w:p>
    <w:p w14:paraId="1844F671">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我方作为本次采购项目的供应商，根据供应商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文件要求，现郑重承诺如下：</w:t>
      </w:r>
    </w:p>
    <w:p w14:paraId="442C3FAF">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一、具备本项目规定的条件</w:t>
      </w:r>
    </w:p>
    <w:p w14:paraId="6BA5E4EB">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lang w:val="en-US" w:eastAsia="zh-CN"/>
        </w:rPr>
        <w:t>1.</w:t>
      </w:r>
      <w:r>
        <w:rPr>
          <w:rFonts w:hint="default" w:ascii="Times New Roman" w:hAnsi="Times New Roman" w:eastAsia="仿宋" w:cs="Times New Roman"/>
          <w:color w:val="000000"/>
          <w:spacing w:val="2"/>
          <w:sz w:val="32"/>
          <w:szCs w:val="32"/>
        </w:rPr>
        <w:t>具有独立承担民事责任的能力；</w:t>
      </w:r>
    </w:p>
    <w:p w14:paraId="37B9E6E4">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lang w:val="en-US" w:eastAsia="zh-CN"/>
        </w:rPr>
        <w:t>2.</w:t>
      </w:r>
      <w:r>
        <w:rPr>
          <w:rFonts w:hint="default" w:ascii="Times New Roman" w:hAnsi="Times New Roman" w:eastAsia="仿宋" w:cs="Times New Roman"/>
          <w:color w:val="000000"/>
          <w:spacing w:val="2"/>
          <w:sz w:val="32"/>
          <w:szCs w:val="32"/>
        </w:rPr>
        <w:t>具有良好的商业信誉和健全的财务会计制度；</w:t>
      </w:r>
    </w:p>
    <w:p w14:paraId="2102CC87">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lang w:val="en-US" w:eastAsia="zh-CN"/>
        </w:rPr>
        <w:t>3.</w:t>
      </w:r>
      <w:r>
        <w:rPr>
          <w:rFonts w:hint="default" w:ascii="Times New Roman" w:hAnsi="Times New Roman" w:eastAsia="仿宋" w:cs="Times New Roman"/>
          <w:color w:val="000000"/>
          <w:spacing w:val="2"/>
          <w:sz w:val="32"/>
          <w:szCs w:val="32"/>
        </w:rPr>
        <w:t>具有履行合同所必须的设备和专业技术能力；</w:t>
      </w:r>
    </w:p>
    <w:p w14:paraId="3DB3E738">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lang w:val="en-US" w:eastAsia="zh-CN"/>
        </w:rPr>
        <w:t>4.</w:t>
      </w:r>
      <w:r>
        <w:rPr>
          <w:rFonts w:hint="default" w:ascii="Times New Roman" w:hAnsi="Times New Roman" w:eastAsia="仿宋" w:cs="Times New Roman"/>
          <w:color w:val="000000"/>
          <w:spacing w:val="2"/>
          <w:sz w:val="32"/>
          <w:szCs w:val="32"/>
        </w:rPr>
        <w:t>具有依法缴纳税收和社会保障资金的良好记录；</w:t>
      </w:r>
    </w:p>
    <w:p w14:paraId="06044A72">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lang w:val="en-US" w:eastAsia="zh-CN"/>
        </w:rPr>
        <w:t>5.</w:t>
      </w:r>
      <w:r>
        <w:rPr>
          <w:rFonts w:hint="default" w:ascii="Times New Roman" w:hAnsi="Times New Roman" w:eastAsia="仿宋" w:cs="Times New Roman"/>
          <w:color w:val="000000"/>
          <w:spacing w:val="2"/>
          <w:sz w:val="32"/>
          <w:szCs w:val="32"/>
        </w:rPr>
        <w:t>参加本次供应商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活动前三年内，在经营活动中没有重大违法记录；</w:t>
      </w:r>
    </w:p>
    <w:p w14:paraId="7767F1C1">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lang w:val="en-US" w:eastAsia="zh-CN"/>
        </w:rPr>
        <w:t>6.</w:t>
      </w:r>
      <w:r>
        <w:rPr>
          <w:rFonts w:hint="default" w:ascii="Times New Roman" w:hAnsi="Times New Roman" w:eastAsia="仿宋" w:cs="Times New Roman"/>
          <w:color w:val="000000"/>
          <w:spacing w:val="2"/>
          <w:sz w:val="32"/>
          <w:szCs w:val="32"/>
        </w:rPr>
        <w:t>法律、行政法规规定的其他条件；</w:t>
      </w:r>
    </w:p>
    <w:p w14:paraId="257C1B81">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二、我方完全接受本项目供应商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文件中规定的要求，如对供应商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文件有异议，已经在供应商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截止时间届满前依法进行维权，不存在对供应商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文件有异议的同时又参加</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活动以求侥幸成交或者为实现其他非法目的的行为。</w:t>
      </w:r>
    </w:p>
    <w:p w14:paraId="7E2877D0">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三、我方完全接受并认可本项目供应商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文件中规定的要求，并通过我方的响应文件对供应商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文件的规定要求做出了全面的积极响应，如因我方提供的响应没有完全达到或符合本项目供应商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文件的规定要求，评审小组、本项目采购人等单位或组织按国家法律法规及供应商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文件的规定要求做出的认定、处置行为，我方完全同意。</w:t>
      </w:r>
    </w:p>
    <w:p w14:paraId="557EE24B">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四、我方完全尊重并认可本项目供应商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文件中规定并赋予本项目采购人“自主采取公平、择优的方式选择”的权利，对本项目采购人选择的结果完全认同并无异议。</w:t>
      </w:r>
    </w:p>
    <w:p w14:paraId="285C2C5A">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五、参加本次供应商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活动，不存在与单位负责人为同一人或者存在直接控股、管理关系的其他供应商参与同一合同项下的供应商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活动的行为。</w:t>
      </w:r>
    </w:p>
    <w:p w14:paraId="2E601182">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六、参加本次供应商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活动，不存在和其他供应商在同一合同项下的供应商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项目中，同时委托同一个自然人、同一家庭的人员、同一单位的人员作为代理人的行为。</w:t>
      </w:r>
    </w:p>
    <w:p w14:paraId="53D3D227">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lang w:eastAsia="zh-CN"/>
        </w:rPr>
        <w:t>七</w:t>
      </w:r>
      <w:r>
        <w:rPr>
          <w:rFonts w:hint="default" w:ascii="Times New Roman" w:hAnsi="Times New Roman" w:eastAsia="仿宋" w:cs="Times New Roman"/>
          <w:color w:val="000000"/>
          <w:spacing w:val="2"/>
          <w:sz w:val="32"/>
          <w:szCs w:val="32"/>
        </w:rPr>
        <w:t>、供应商响应文件中提供的技术、服务、商务等响应承诺情况都是真实的、有效的、合法的。</w:t>
      </w:r>
    </w:p>
    <w:p w14:paraId="6B12CA2F">
      <w:pPr>
        <w:pStyle w:val="6"/>
        <w:keepNext w:val="0"/>
        <w:keepLines w:val="0"/>
        <w:pageBreakBefore w:val="0"/>
        <w:kinsoku/>
        <w:overflowPunct/>
        <w:topLinePunct w:val="0"/>
        <w:autoSpaceDE/>
        <w:autoSpaceDN/>
        <w:bidi w:val="0"/>
        <w:adjustRightInd/>
        <w:spacing w:after="0" w:afterLines="0" w:line="560" w:lineRule="atLeas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color w:val="000000"/>
          <w:spacing w:val="2"/>
          <w:sz w:val="32"/>
          <w:szCs w:val="32"/>
          <w:lang w:val="en-US" w:eastAsia="zh-CN"/>
        </w:rPr>
        <w:t xml:space="preserve">    八、</w:t>
      </w:r>
      <w:r>
        <w:rPr>
          <w:rFonts w:hint="default" w:ascii="Times New Roman" w:hAnsi="Times New Roman" w:eastAsia="仿宋" w:cs="Times New Roman"/>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288A1328">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本公司对上述承诺的内容事项真实性负责。如经查实上述承诺的内容事项存在虚假，我公司愿意接受以提供虚假材料谋取成交追究法律责任。</w:t>
      </w:r>
    </w:p>
    <w:p w14:paraId="62D2A2AE">
      <w:pPr>
        <w:pStyle w:val="31"/>
        <w:keepNext w:val="0"/>
        <w:keepLines w:val="0"/>
        <w:pageBreakBefore w:val="0"/>
        <w:kinsoku/>
        <w:overflowPunct/>
        <w:topLinePunct w:val="0"/>
        <w:autoSpaceDE/>
        <w:autoSpaceDN/>
        <w:bidi w:val="0"/>
        <w:adjustRightInd/>
        <w:spacing w:before="0" w:after="0" w:line="560" w:lineRule="atLeast"/>
        <w:textAlignment w:val="auto"/>
        <w:rPr>
          <w:rFonts w:hint="default" w:ascii="Times New Roman" w:hAnsi="Times New Roman" w:eastAsia="仿宋" w:cs="Times New Roman"/>
          <w:sz w:val="32"/>
          <w:szCs w:val="32"/>
        </w:rPr>
      </w:pPr>
    </w:p>
    <w:p w14:paraId="173EAEB2">
      <w:pPr>
        <w:keepNext w:val="0"/>
        <w:keepLines w:val="0"/>
        <w:pageBreakBefore w:val="0"/>
        <w:kinsoku/>
        <w:overflowPunct/>
        <w:topLinePunct w:val="0"/>
        <w:autoSpaceDE/>
        <w:autoSpaceDN/>
        <w:bidi w:val="0"/>
        <w:adjustRightInd/>
        <w:spacing w:line="560" w:lineRule="atLeast"/>
        <w:textAlignment w:val="auto"/>
        <w:rPr>
          <w:rFonts w:hint="default" w:ascii="Times New Roman" w:hAnsi="Times New Roman" w:eastAsia="仿宋" w:cs="Times New Roman"/>
        </w:rPr>
      </w:pPr>
    </w:p>
    <w:p w14:paraId="1B6407CB">
      <w:pPr>
        <w:keepNext w:val="0"/>
        <w:keepLines w:val="0"/>
        <w:pageBreakBefore w:val="0"/>
        <w:kinsoku/>
        <w:overflowPunct/>
        <w:topLinePunct w:val="0"/>
        <w:autoSpaceDE/>
        <w:autoSpaceDN/>
        <w:bidi w:val="0"/>
        <w:adjustRightInd/>
        <w:snapToGrid w:val="0"/>
        <w:spacing w:line="560" w:lineRule="atLeast"/>
        <w:ind w:firstLine="2916" w:firstLineChars="900"/>
        <w:contextualSpacing/>
        <w:jc w:val="right"/>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供应商名称（单位公章）：XXXX</w:t>
      </w:r>
    </w:p>
    <w:p w14:paraId="62708069">
      <w:pPr>
        <w:keepNext w:val="0"/>
        <w:keepLines w:val="0"/>
        <w:pageBreakBefore w:val="0"/>
        <w:kinsoku/>
        <w:overflowPunct/>
        <w:topLinePunct w:val="0"/>
        <w:autoSpaceDE/>
        <w:autoSpaceDN/>
        <w:bidi w:val="0"/>
        <w:adjustRightInd/>
        <w:snapToGrid w:val="0"/>
        <w:spacing w:line="560" w:lineRule="atLeast"/>
        <w:ind w:firstLine="2916" w:firstLineChars="900"/>
        <w:contextualSpacing/>
        <w:jc w:val="right"/>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法定代表人或授权代表（签字或加盖个人名章）：XXXX</w:t>
      </w:r>
    </w:p>
    <w:p w14:paraId="3D9B343A">
      <w:pPr>
        <w:keepNext w:val="0"/>
        <w:keepLines w:val="0"/>
        <w:pageBreakBefore w:val="0"/>
        <w:kinsoku/>
        <w:overflowPunct/>
        <w:topLinePunct w:val="0"/>
        <w:autoSpaceDE/>
        <w:autoSpaceDN/>
        <w:bidi w:val="0"/>
        <w:adjustRightInd/>
        <w:snapToGrid w:val="0"/>
        <w:spacing w:line="560" w:lineRule="atLeast"/>
        <w:ind w:firstLine="2916" w:firstLineChars="900"/>
        <w:contextualSpacing/>
        <w:jc w:val="right"/>
        <w:textAlignment w:val="auto"/>
        <w:rPr>
          <w:rFonts w:hint="default" w:ascii="Times New Roman" w:hAnsi="Times New Roman" w:eastAsia="仿宋" w:cs="Times New Roman"/>
          <w:color w:val="000000"/>
          <w:spacing w:val="2"/>
          <w:sz w:val="28"/>
          <w:szCs w:val="28"/>
        </w:rPr>
      </w:pPr>
      <w:r>
        <w:rPr>
          <w:rFonts w:hint="default" w:ascii="Times New Roman" w:hAnsi="Times New Roman" w:eastAsia="仿宋" w:cs="Times New Roman"/>
          <w:color w:val="000000"/>
          <w:spacing w:val="2"/>
          <w:sz w:val="32"/>
          <w:szCs w:val="32"/>
        </w:rPr>
        <w:t>日期：XXXX</w:t>
      </w:r>
    </w:p>
    <w:p w14:paraId="312DDCA0">
      <w:pPr>
        <w:pStyle w:val="6"/>
        <w:adjustRightInd w:val="0"/>
        <w:snapToGrid w:val="0"/>
        <w:spacing w:after="0" w:line="360" w:lineRule="auto"/>
        <w:ind w:firstLine="560" w:firstLineChars="200"/>
        <w:rPr>
          <w:rFonts w:hint="eastAsia" w:ascii="黑体" w:hAnsi="黑体" w:eastAsia="黑体" w:cs="黑体"/>
          <w:sz w:val="28"/>
          <w:szCs w:val="28"/>
          <w:lang w:eastAsia="zh-CN"/>
        </w:rPr>
      </w:pPr>
    </w:p>
    <w:p w14:paraId="4377CDC5">
      <w:pPr>
        <w:pStyle w:val="6"/>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14:paraId="0EB3E945">
      <w:pPr>
        <w:spacing w:beforeLines="100" w:afterLines="200" w:line="320" w:lineRule="exact"/>
        <w:jc w:val="center"/>
        <w:rPr>
          <w:rFonts w:hint="eastAsia" w:ascii="黑体" w:hAnsi="黑体" w:eastAsia="黑体" w:cs="黑体"/>
          <w:color w:val="auto"/>
          <w:sz w:val="40"/>
          <w:szCs w:val="40"/>
        </w:rPr>
      </w:pPr>
      <w:bookmarkStart w:id="8" w:name="_Toc12426"/>
      <w:bookmarkStart w:id="9" w:name="_Toc199"/>
      <w:bookmarkStart w:id="10" w:name="_Toc16184"/>
      <w:bookmarkStart w:id="11" w:name="_Toc439699522"/>
      <w:bookmarkStart w:id="12" w:name="_Toc1800"/>
      <w:bookmarkStart w:id="13" w:name="_Toc24199"/>
      <w:bookmarkStart w:id="14" w:name="_Toc1287"/>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14:paraId="240D4397">
      <w:pPr>
        <w:pStyle w:val="29"/>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default" w:ascii="Times New Roman" w:hAnsi="Times New Roman" w:eastAsia="仿宋" w:cs="Times New Roman"/>
          <w:color w:val="auto"/>
          <w:sz w:val="32"/>
          <w:szCs w:val="32"/>
        </w:rPr>
      </w:pPr>
      <w:bookmarkStart w:id="15" w:name="_Toc5468"/>
      <w:r>
        <w:rPr>
          <w:rFonts w:hint="default" w:ascii="Times New Roman" w:hAnsi="Times New Roman" w:eastAsia="仿宋" w:cs="Times New Roman"/>
          <w:color w:val="auto"/>
          <w:sz w:val="32"/>
          <w:szCs w:val="32"/>
        </w:rPr>
        <w:t>乐山市</w:t>
      </w:r>
      <w:r>
        <w:rPr>
          <w:rFonts w:hint="default" w:ascii="Times New Roman" w:hAnsi="Times New Roman" w:eastAsia="仿宋" w:cs="Times New Roman"/>
          <w:color w:val="auto"/>
          <w:sz w:val="32"/>
          <w:szCs w:val="32"/>
          <w:lang w:eastAsia="zh-CN"/>
        </w:rPr>
        <w:t>五通桥区</w:t>
      </w:r>
      <w:r>
        <w:rPr>
          <w:rFonts w:hint="default" w:ascii="Times New Roman" w:hAnsi="Times New Roman" w:eastAsia="仿宋" w:cs="Times New Roman"/>
          <w:color w:val="auto"/>
          <w:sz w:val="32"/>
          <w:szCs w:val="32"/>
        </w:rPr>
        <w:t>人民医院：</w:t>
      </w:r>
    </w:p>
    <w:p w14:paraId="257A6292">
      <w:pPr>
        <w:pStyle w:val="29"/>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为进一步加强医疗卫生行风建设，规范医疗卫生机构购销行为，有效防范商业贿赂行为，营造公平交易、诚实守信的购销环境，我公司特作出以下承诺，并严格遵守：</w:t>
      </w:r>
    </w:p>
    <w:p w14:paraId="3DBF7B63">
      <w:pPr>
        <w:pStyle w:val="29"/>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一、本公司严格按照《</w:t>
      </w:r>
      <w:r>
        <w:rPr>
          <w:rFonts w:hint="default" w:ascii="Times New Roman" w:hAnsi="Times New Roman" w:eastAsia="仿宋" w:cs="Times New Roman"/>
          <w:color w:val="auto"/>
          <w:sz w:val="32"/>
          <w:szCs w:val="32"/>
          <w:lang w:eastAsia="zh-CN"/>
        </w:rPr>
        <w:t>民法典</w:t>
      </w:r>
      <w:r>
        <w:rPr>
          <w:rFonts w:hint="default" w:ascii="Times New Roman" w:hAnsi="Times New Roman" w:eastAsia="仿宋" w:cs="Times New Roman"/>
          <w:color w:val="auto"/>
          <w:sz w:val="32"/>
          <w:szCs w:val="32"/>
        </w:rPr>
        <w:t>》及购销合同约定购销相关产品。</w:t>
      </w:r>
    </w:p>
    <w:p w14:paraId="63FDDEBD">
      <w:pPr>
        <w:pStyle w:val="29"/>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14:paraId="56066E8D">
      <w:pPr>
        <w:pStyle w:val="29"/>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14:paraId="6F996B50">
      <w:pPr>
        <w:pStyle w:val="29"/>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14:paraId="5A3334F9">
      <w:pPr>
        <w:pStyle w:val="29"/>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五、本公司如违反本承诺，愿意接受医院相关处罚规定。</w:t>
      </w:r>
    </w:p>
    <w:p w14:paraId="65AF7FC7">
      <w:pPr>
        <w:pStyle w:val="29"/>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供应商或厂家名称：        （盖章）</w:t>
      </w:r>
    </w:p>
    <w:p w14:paraId="53C1843A">
      <w:pPr>
        <w:pStyle w:val="29"/>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法定代表人或授权代表（签字）：</w:t>
      </w:r>
    </w:p>
    <w:p w14:paraId="7992BFB6">
      <w:pPr>
        <w:pStyle w:val="29"/>
        <w:spacing w:line="240" w:lineRule="auto"/>
        <w:ind w:firstLine="0"/>
        <w:rPr>
          <w:rFonts w:hint="default" w:ascii="Times New Roman" w:hAnsi="Times New Roman" w:eastAsia="仿宋" w:cs="Times New Roman"/>
          <w:color w:val="auto"/>
          <w:sz w:val="32"/>
          <w:szCs w:val="32"/>
        </w:rPr>
      </w:pPr>
    </w:p>
    <w:p w14:paraId="64D043B3">
      <w:pPr>
        <w:pStyle w:val="29"/>
        <w:spacing w:line="240" w:lineRule="auto"/>
        <w:ind w:firstLine="0"/>
        <w:rPr>
          <w:rFonts w:hint="default" w:ascii="Times New Roman" w:hAnsi="Times New Roman" w:eastAsia="仿宋" w:cs="Times New Roman"/>
          <w:color w:val="auto"/>
          <w:sz w:val="32"/>
          <w:szCs w:val="32"/>
        </w:rPr>
      </w:pPr>
    </w:p>
    <w:p w14:paraId="1D6668C4">
      <w:pPr>
        <w:autoSpaceDN w:val="0"/>
        <w:spacing w:line="240" w:lineRule="auto"/>
        <w:ind w:firstLine="6560" w:firstLineChars="2050"/>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日期：202</w:t>
      </w:r>
      <w:r>
        <w:rPr>
          <w:rFonts w:hint="default" w:ascii="Times New Roman" w:hAnsi="Times New Roman" w:eastAsia="仿宋" w:cs="Times New Roman"/>
          <w:color w:val="auto"/>
          <w:kern w:val="2"/>
          <w:sz w:val="32"/>
          <w:szCs w:val="32"/>
          <w:lang w:val="en-US" w:eastAsia="zh-CN"/>
        </w:rPr>
        <w:t>4</w:t>
      </w:r>
      <w:r>
        <w:rPr>
          <w:rFonts w:hint="default" w:ascii="Times New Roman" w:hAnsi="Times New Roman" w:eastAsia="仿宋" w:cs="Times New Roman"/>
          <w:color w:val="auto"/>
          <w:kern w:val="2"/>
          <w:sz w:val="32"/>
          <w:szCs w:val="32"/>
        </w:rPr>
        <w:t>年  月  日</w:t>
      </w:r>
      <w:bookmarkEnd w:id="15"/>
    </w:p>
    <w:p w14:paraId="08CBB15B">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037CA89F">
      <w:pPr>
        <w:spacing w:after="0" w:line="360" w:lineRule="auto"/>
        <w:rPr>
          <w:rFonts w:hint="eastAsia" w:ascii="黑体" w:hAnsi="黑体" w:eastAsia="黑体" w:cs="黑体"/>
        </w:rPr>
      </w:pPr>
    </w:p>
    <w:p w14:paraId="2578FE5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b/>
          <w:sz w:val="40"/>
          <w:szCs w:val="40"/>
          <w:lang w:val="en-US" w:eastAsia="zh-CN"/>
        </w:rPr>
      </w:pPr>
      <w:r>
        <w:rPr>
          <w:rFonts w:hint="eastAsia" w:ascii="黑体" w:hAnsi="黑体" w:eastAsia="黑体" w:cs="黑体"/>
          <w:b/>
          <w:sz w:val="40"/>
          <w:szCs w:val="40"/>
        </w:rPr>
        <w:t xml:space="preserve"> </w:t>
      </w:r>
      <w:r>
        <w:rPr>
          <w:rFonts w:hint="eastAsia" w:ascii="黑体" w:hAnsi="黑体" w:eastAsia="黑体" w:cs="黑体"/>
          <w:b/>
          <w:sz w:val="40"/>
          <w:szCs w:val="40"/>
          <w:lang w:val="en-US" w:eastAsia="zh-CN"/>
        </w:rPr>
        <w:t>采购项目技术、服务及其他商务要求</w:t>
      </w:r>
    </w:p>
    <w:p w14:paraId="1EE36C65">
      <w:pPr>
        <w:pStyle w:val="2"/>
        <w:rPr>
          <w:rFonts w:hint="eastAsia"/>
          <w:lang w:val="en-US" w:eastAsia="zh-CN"/>
        </w:rPr>
      </w:pPr>
    </w:p>
    <w:p w14:paraId="29086FD9">
      <w:pPr>
        <w:pStyle w:val="17"/>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技术参数要求一览表</w:t>
      </w:r>
    </w:p>
    <w:tbl>
      <w:tblPr>
        <w:tblStyle w:val="18"/>
        <w:tblW w:w="9299"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84"/>
        <w:gridCol w:w="1578"/>
        <w:gridCol w:w="5948"/>
        <w:gridCol w:w="1189"/>
      </w:tblGrid>
      <w:tr w14:paraId="60C8A18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1" w:hRule="atLeast"/>
          <w:jc w:val="center"/>
        </w:trPr>
        <w:tc>
          <w:tcPr>
            <w:tcW w:w="584" w:type="dxa"/>
            <w:tcBorders>
              <w:tl2br w:val="nil"/>
              <w:tr2bl w:val="nil"/>
            </w:tcBorders>
            <w:shd w:val="clear" w:color="auto" w:fill="auto"/>
            <w:noWrap/>
            <w:vAlign w:val="center"/>
          </w:tcPr>
          <w:p w14:paraId="63FD96A9">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序号</w:t>
            </w:r>
          </w:p>
        </w:tc>
        <w:tc>
          <w:tcPr>
            <w:tcW w:w="1578" w:type="dxa"/>
            <w:tcBorders>
              <w:tl2br w:val="nil"/>
              <w:tr2bl w:val="nil"/>
            </w:tcBorders>
            <w:shd w:val="clear" w:color="auto" w:fill="auto"/>
            <w:noWrap/>
            <w:vAlign w:val="center"/>
          </w:tcPr>
          <w:p w14:paraId="0BA2277E">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产品名称</w:t>
            </w:r>
          </w:p>
        </w:tc>
        <w:tc>
          <w:tcPr>
            <w:tcW w:w="5948" w:type="dxa"/>
            <w:tcBorders>
              <w:tl2br w:val="nil"/>
              <w:tr2bl w:val="nil"/>
            </w:tcBorders>
            <w:shd w:val="clear" w:color="auto" w:fill="auto"/>
            <w:noWrap/>
            <w:vAlign w:val="center"/>
          </w:tcPr>
          <w:p w14:paraId="2ACBEC9C">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主要技术参数（实质性参数）</w:t>
            </w:r>
          </w:p>
        </w:tc>
        <w:tc>
          <w:tcPr>
            <w:tcW w:w="1189" w:type="dxa"/>
            <w:tcBorders>
              <w:tl2br w:val="nil"/>
              <w:tr2bl w:val="nil"/>
            </w:tcBorders>
            <w:shd w:val="clear" w:color="auto" w:fill="auto"/>
            <w:noWrap/>
            <w:vAlign w:val="center"/>
          </w:tcPr>
          <w:p w14:paraId="12CB81A5">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需求量</w:t>
            </w:r>
          </w:p>
        </w:tc>
      </w:tr>
      <w:tr w14:paraId="678B74D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848" w:hRule="atLeast"/>
          <w:jc w:val="center"/>
        </w:trPr>
        <w:tc>
          <w:tcPr>
            <w:tcW w:w="584" w:type="dxa"/>
            <w:tcBorders>
              <w:tl2br w:val="nil"/>
              <w:tr2bl w:val="nil"/>
            </w:tcBorders>
            <w:shd w:val="clear" w:color="auto" w:fill="auto"/>
            <w:noWrap/>
            <w:vAlign w:val="center"/>
          </w:tcPr>
          <w:p w14:paraId="143A5E87">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w:t>
            </w:r>
          </w:p>
        </w:tc>
        <w:tc>
          <w:tcPr>
            <w:tcW w:w="1578" w:type="dxa"/>
            <w:tcBorders>
              <w:tl2br w:val="nil"/>
              <w:tr2bl w:val="nil"/>
            </w:tcBorders>
            <w:shd w:val="clear" w:color="auto" w:fill="auto"/>
            <w:vAlign w:val="center"/>
          </w:tcPr>
          <w:p w14:paraId="59F73ABF">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4"/>
                <w:szCs w:val="24"/>
                <w:u w:val="none"/>
                <w:lang w:val="en-US" w:eastAsia="zh-CN" w:bidi="ar"/>
              </w:rPr>
              <w:t>单人份化学发光仪</w:t>
            </w:r>
          </w:p>
        </w:tc>
        <w:tc>
          <w:tcPr>
            <w:tcW w:w="5948" w:type="dxa"/>
            <w:tcBorders>
              <w:tl2br w:val="nil"/>
              <w:tr2bl w:val="nil"/>
            </w:tcBorders>
            <w:shd w:val="clear" w:color="auto" w:fill="auto"/>
            <w:vAlign w:val="center"/>
          </w:tcPr>
          <w:p w14:paraId="270214E1">
            <w:pPr>
              <w:keepNext w:val="0"/>
              <w:keepLines w:val="0"/>
              <w:widowControl/>
              <w:numPr>
                <w:ilvl w:val="0"/>
                <w:numId w:val="4"/>
              </w:numPr>
              <w:suppressLineNumbers w:val="0"/>
              <w:jc w:val="lef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方法学：磁微粒化学发光；</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2.★检测项目：包含但不限于心肌肌钙蛋白I（cTnI）/高敏肌钙蛋白（hs-cTnI），肌红蛋白（Myo），肌酸激酶同工酶（CK-MB），B型利钠肽（BNP），N末端脑利钠肽前体（Nt-proBNP），D-二聚体（D-Dimer），心型脂肪酸结合蛋白（H-FABP），降钙素原（PCT），贫血三项，总25-羟基维生素D（25-OH-VD），甲功激素等项目；</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3.★出结果时间：≤12min；</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4.★检测通道：≤16个；</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5.★速度通量：≥96T/h；</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6.样本类型：血清、血浆、支持全血；</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7.屏幕：全彩电容触摸屏，操作界面简洁易懂，支持双层手套触控；</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8.质控管理：仪器内置Leving-Jennings质控图表，不需要配置电脑，内置温控系统，配套校准品和质控品；</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9.结果管理：可免费提供POCT管理软件，支持多台仪器联机管理结果报告管数据，支持第三方LIS软件接入通讯协议；</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10.进样量：≤70μL；</w:t>
            </w:r>
          </w:p>
          <w:p w14:paraId="7125AA28">
            <w:pPr>
              <w:keepNext w:val="0"/>
              <w:keepLines w:val="0"/>
              <w:widowControl/>
              <w:numPr>
                <w:ilvl w:val="0"/>
                <w:numId w:val="0"/>
              </w:numPr>
              <w:suppressLineNumbers w:val="0"/>
              <w:jc w:val="lef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i w:val="0"/>
                <w:iCs w:val="0"/>
                <w:color w:val="000000"/>
                <w:kern w:val="0"/>
                <w:sz w:val="24"/>
                <w:szCs w:val="24"/>
                <w:u w:val="none"/>
                <w:lang w:val="en-US" w:eastAsia="zh-CN" w:bidi="ar"/>
              </w:rPr>
              <w:t>11.★一键开关机，24小时待机，仪器故障后一键自动重启；</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12.定标方式：2点定标或3点定标；</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13.信息支持：USB、RS232、网口，可进行LIS-HIS连接，可外接条码扫描仪；</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14.数据储存：无数据保存时间限制，储存结果 ≥100000 个，所有结果可查询；</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15.打印机：内置热敏打印机，结果随时打印，支持外接打印机。</w:t>
            </w:r>
          </w:p>
        </w:tc>
        <w:tc>
          <w:tcPr>
            <w:tcW w:w="1189" w:type="dxa"/>
            <w:tcBorders>
              <w:tl2br w:val="nil"/>
              <w:tr2bl w:val="nil"/>
            </w:tcBorders>
            <w:shd w:val="clear" w:color="auto" w:fill="auto"/>
            <w:noWrap/>
            <w:vAlign w:val="center"/>
          </w:tcPr>
          <w:p w14:paraId="123C707B">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w:t>
            </w:r>
          </w:p>
        </w:tc>
      </w:tr>
      <w:tr w14:paraId="4FD23E2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787" w:hRule="atLeast"/>
          <w:jc w:val="center"/>
        </w:trPr>
        <w:tc>
          <w:tcPr>
            <w:tcW w:w="584" w:type="dxa"/>
            <w:tcBorders>
              <w:bottom w:val="double" w:color="000000" w:sz="4" w:space="0"/>
              <w:tl2br w:val="nil"/>
              <w:tr2bl w:val="nil"/>
            </w:tcBorders>
            <w:shd w:val="clear" w:color="auto" w:fill="auto"/>
            <w:noWrap/>
            <w:vAlign w:val="center"/>
          </w:tcPr>
          <w:p w14:paraId="30316F94">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1578" w:type="dxa"/>
            <w:tcBorders>
              <w:bottom w:val="double" w:color="000000" w:sz="4" w:space="0"/>
              <w:tl2br w:val="nil"/>
              <w:tr2bl w:val="nil"/>
            </w:tcBorders>
            <w:shd w:val="clear" w:color="auto" w:fill="auto"/>
            <w:vAlign w:val="center"/>
          </w:tcPr>
          <w:p w14:paraId="6550E1BF">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N末端脑利钠肽前体（Nt-proBNP）检测试剂盒</w:t>
            </w:r>
          </w:p>
        </w:tc>
        <w:tc>
          <w:tcPr>
            <w:tcW w:w="5948" w:type="dxa"/>
            <w:tcBorders>
              <w:bottom w:val="double" w:color="000000" w:sz="4" w:space="0"/>
              <w:tl2br w:val="nil"/>
              <w:tr2bl w:val="nil"/>
            </w:tcBorders>
            <w:shd w:val="clear" w:color="auto" w:fill="auto"/>
            <w:vAlign w:val="center"/>
          </w:tcPr>
          <w:p w14:paraId="31E981AE">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1.★能匹配上述单人份化学发光仪进行检测；</w:t>
            </w:r>
          </w:p>
          <w:p w14:paraId="1F804A57">
            <w:pPr>
              <w:pStyle w:val="2"/>
              <w:numPr>
                <w:ilvl w:val="0"/>
                <w:numId w:val="0"/>
              </w:numPr>
              <w:ind w:leftChars="0"/>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2.★试剂盒规格：单人份包装。</w:t>
            </w:r>
          </w:p>
          <w:p w14:paraId="3BAEEBE3">
            <w:pPr>
              <w:numPr>
                <w:ilvl w:val="0"/>
                <w:numId w:val="0"/>
              </w:numPr>
              <w:ind w:leftChars="0"/>
              <w:rPr>
                <w:rFonts w:hint="default" w:ascii="Times New Roman" w:hAnsi="Times New Roman" w:eastAsia="仿宋" w:cs="Times New Roman"/>
                <w:lang w:val="en-US" w:eastAsia="zh-CN"/>
              </w:rPr>
            </w:pP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用于体外定量检测人血清、血浆及全血中N末端脑利钠肽前体的含量</w:t>
            </w:r>
            <w:r>
              <w:rPr>
                <w:rFonts w:hint="eastAsia" w:ascii="Times New Roman" w:hAnsi="Times New Roman" w:eastAsia="仿宋" w:cs="Times New Roman"/>
                <w:sz w:val="24"/>
                <w:szCs w:val="24"/>
                <w:lang w:val="en-US" w:eastAsia="zh-CN"/>
              </w:rPr>
              <w:t>）</w:t>
            </w:r>
          </w:p>
        </w:tc>
        <w:tc>
          <w:tcPr>
            <w:tcW w:w="1189" w:type="dxa"/>
            <w:tcBorders>
              <w:bottom w:val="double" w:color="000000" w:sz="4" w:space="0"/>
              <w:tl2br w:val="nil"/>
              <w:tr2bl w:val="nil"/>
            </w:tcBorders>
            <w:shd w:val="clear" w:color="auto" w:fill="auto"/>
            <w:vAlign w:val="center"/>
          </w:tcPr>
          <w:p w14:paraId="1F4CF19D">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按科室实际需求供量</w:t>
            </w:r>
          </w:p>
        </w:tc>
      </w:tr>
      <w:tr w14:paraId="68F6E7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9299" w:type="dxa"/>
            <w:gridSpan w:val="4"/>
            <w:tcBorders>
              <w:top w:val="double" w:color="000000" w:sz="4" w:space="0"/>
            </w:tcBorders>
            <w:shd w:val="clear" w:color="auto" w:fill="auto"/>
            <w:noWrap/>
            <w:vAlign w:val="center"/>
          </w:tcPr>
          <w:p w14:paraId="14683E02">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备注：其中“★”为必须满足的实质性参数。</w:t>
            </w:r>
          </w:p>
        </w:tc>
      </w:tr>
    </w:tbl>
    <w:p w14:paraId="52D35363">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3BCFF89B">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二、商务要求</w:t>
      </w:r>
    </w:p>
    <w:p w14:paraId="405AB2BB">
      <w:pPr>
        <w:pStyle w:val="17"/>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left="210" w:leftChars="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响应时间：自提出采购需求后5天内供货</w:t>
      </w:r>
      <w:r>
        <w:rPr>
          <w:rFonts w:hint="default" w:ascii="Times New Roman" w:hAnsi="Times New Roman" w:eastAsia="仿宋" w:cs="Times New Roman"/>
          <w:color w:val="auto"/>
          <w:sz w:val="32"/>
          <w:szCs w:val="32"/>
          <w:lang w:val="en-US" w:eastAsia="zh-CN"/>
        </w:rPr>
        <w:t>。</w:t>
      </w:r>
    </w:p>
    <w:p w14:paraId="47139EEC">
      <w:pPr>
        <w:pStyle w:val="17"/>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left="210" w:leftChars="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服务要求：医疗器械供应商须符合《医疗器械监督管理条例》要求并具有独立履行民事责任的主体资格、遵守国家法律法规，具有良好的信誉和诚实的商业道德、具有履行合同的能力</w:t>
      </w:r>
      <w:r>
        <w:rPr>
          <w:rFonts w:hint="default" w:ascii="Times New Roman" w:hAnsi="Times New Roman" w:eastAsia="仿宋" w:cs="Times New Roman"/>
          <w:color w:val="auto"/>
          <w:sz w:val="32"/>
          <w:szCs w:val="32"/>
          <w:lang w:val="en-US" w:eastAsia="zh-CN"/>
        </w:rPr>
        <w:t>。</w:t>
      </w:r>
    </w:p>
    <w:p w14:paraId="3D34EDE8">
      <w:pPr>
        <w:pStyle w:val="17"/>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left="210" w:leftChars="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付款方式：</w:t>
      </w:r>
    </w:p>
    <w:p w14:paraId="1342A2D3">
      <w:pPr>
        <w:pStyle w:val="17"/>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left="0" w:leftChars="0" w:firstLine="480" w:firstLineChars="150"/>
        <w:textAlignment w:val="auto"/>
        <w:rPr>
          <w:rFonts w:hint="default" w:ascii="Times New Roman" w:hAnsi="Times New Roman" w:eastAsia="仿宋" w:cs="Times New Roman"/>
          <w:color w:val="auto"/>
          <w:sz w:val="32"/>
          <w:szCs w:val="32"/>
          <w:lang w:val="en-US" w:eastAsia="zh-CN"/>
        </w:rPr>
      </w:pPr>
      <w:r>
        <w:rPr>
          <w:rFonts w:hint="eastAsia" w:eastAsia="仿宋" w:cs="Times New Roman"/>
          <w:sz w:val="32"/>
          <w:szCs w:val="32"/>
          <w:lang w:val="en-US" w:eastAsia="zh-CN"/>
        </w:rPr>
        <w:t>耗材：</w:t>
      </w:r>
      <w:r>
        <w:rPr>
          <w:rFonts w:hint="default" w:ascii="Times New Roman" w:hAnsi="Times New Roman" w:eastAsia="仿宋" w:cs="Times New Roman"/>
          <w:sz w:val="32"/>
          <w:szCs w:val="32"/>
          <w:lang w:val="en-US" w:eastAsia="zh-CN"/>
        </w:rPr>
        <w:t>甲方验收并收到发票以后，250个工作日内支付货款</w:t>
      </w:r>
      <w:r>
        <w:rPr>
          <w:rFonts w:hint="default" w:ascii="Times New Roman" w:hAnsi="Times New Roman" w:eastAsia="仿宋" w:cs="Times New Roman"/>
          <w:color w:val="auto"/>
          <w:sz w:val="32"/>
          <w:szCs w:val="32"/>
          <w:lang w:val="en-US" w:eastAsia="zh-CN"/>
        </w:rPr>
        <w:t>。</w:t>
      </w:r>
    </w:p>
    <w:p w14:paraId="6412B6E0">
      <w:pPr>
        <w:pStyle w:val="17"/>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left="0" w:leftChars="0" w:firstLine="480" w:firstLineChars="150"/>
        <w:textAlignment w:val="auto"/>
        <w:rPr>
          <w:rFonts w:hint="default" w:ascii="Times New Roman" w:hAnsi="Times New Roman" w:eastAsia="仿宋" w:cs="Times New Roman"/>
          <w:color w:val="auto"/>
          <w:sz w:val="32"/>
          <w:szCs w:val="32"/>
          <w:lang w:val="en-US" w:eastAsia="zh-CN"/>
        </w:rPr>
      </w:pPr>
      <w:r>
        <w:rPr>
          <w:rFonts w:hint="eastAsia" w:eastAsia="仿宋" w:cs="Times New Roman"/>
          <w:color w:val="auto"/>
          <w:sz w:val="32"/>
          <w:szCs w:val="32"/>
          <w:lang w:val="en-US" w:eastAsia="zh-CN"/>
        </w:rPr>
        <w:t>设备：</w:t>
      </w:r>
      <w:r>
        <w:rPr>
          <w:rFonts w:hint="default" w:ascii="Times New Roman" w:hAnsi="Times New Roman" w:eastAsia="仿宋" w:cs="Times New Roman"/>
          <w:sz w:val="32"/>
          <w:szCs w:val="32"/>
          <w:lang w:val="en-US" w:eastAsia="zh-CN"/>
        </w:rPr>
        <w:t>甲方验收并收到发票以后</w:t>
      </w:r>
      <w:r>
        <w:rPr>
          <w:rFonts w:hint="eastAsia" w:eastAsia="仿宋" w:cs="Times New Roman"/>
          <w:sz w:val="32"/>
          <w:szCs w:val="32"/>
          <w:lang w:val="en-US" w:eastAsia="zh-CN"/>
        </w:rPr>
        <w:t>，60个工作日内支付货款。</w:t>
      </w:r>
    </w:p>
    <w:p w14:paraId="11CC8A5C">
      <w:pPr>
        <w:pStyle w:val="17"/>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left="210" w:leftChars="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质量要求：供应商提供的医疗器械须符合《医疗器械注册管理办法》要求。整机质保期至少3年。</w:t>
      </w:r>
    </w:p>
    <w:p w14:paraId="0DE2D9B2">
      <w:pPr>
        <w:pStyle w:val="17"/>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left="210" w:leftChars="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14:paraId="2EE8AF2A">
      <w:pPr>
        <w:pStyle w:val="17"/>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left="210" w:leftChars="0" w:firstLine="420" w:firstLineChars="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中标供应商签订采购合同前需提供</w:t>
      </w:r>
      <w:r>
        <w:rPr>
          <w:rFonts w:hint="default" w:ascii="Times New Roman" w:hAnsi="Times New Roman" w:eastAsia="仿宋" w:cs="Times New Roman"/>
          <w:color w:val="auto"/>
          <w:sz w:val="32"/>
          <w:szCs w:val="32"/>
        </w:rPr>
        <w:t>相关耗材生产厂家授权销售资料</w:t>
      </w:r>
      <w:r>
        <w:rPr>
          <w:rFonts w:hint="default" w:ascii="Times New Roman" w:hAnsi="Times New Roman" w:eastAsia="仿宋" w:cs="Times New Roman"/>
          <w:color w:val="auto"/>
          <w:sz w:val="32"/>
          <w:szCs w:val="32"/>
          <w:lang w:eastAsia="zh-CN"/>
        </w:rPr>
        <w:t>。</w:t>
      </w:r>
    </w:p>
    <w:p w14:paraId="753738CF">
      <w:pPr>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br w:type="page"/>
      </w:r>
    </w:p>
    <w:p w14:paraId="039A41BF">
      <w:pPr>
        <w:pStyle w:val="17"/>
        <w:numPr>
          <w:ilvl w:val="0"/>
          <w:numId w:val="0"/>
        </w:numPr>
        <w:spacing w:line="240" w:lineRule="auto"/>
        <w:rPr>
          <w:rFonts w:hint="default" w:ascii="Times New Roman" w:hAnsi="Times New Roman" w:eastAsia="仿宋" w:cs="Times New Roman"/>
          <w:color w:val="auto"/>
          <w:sz w:val="30"/>
          <w:szCs w:val="30"/>
          <w:lang w:val="en-US" w:eastAsia="zh-CN"/>
        </w:rPr>
      </w:pPr>
    </w:p>
    <w:p w14:paraId="74BF4FB1">
      <w:pPr>
        <w:pStyle w:val="6"/>
        <w:keepNext w:val="0"/>
        <w:keepLines w:val="0"/>
        <w:pageBreakBefore w:val="0"/>
        <w:widowControl w:val="0"/>
        <w:kinsoku/>
        <w:wordWrap/>
        <w:overflowPunct/>
        <w:topLinePunct w:val="0"/>
        <w:autoSpaceDE/>
        <w:autoSpaceDN/>
        <w:bidi w:val="0"/>
        <w:adjustRightInd/>
        <w:snapToGrid/>
        <w:spacing w:after="361" w:afterLines="100"/>
        <w:textAlignment w:val="auto"/>
        <w:rPr>
          <w:rFonts w:hint="eastAsia" w:ascii="黑体" w:hAnsi="黑体" w:eastAsia="黑体" w:cs="黑体"/>
          <w:b w:val="0"/>
          <w:bCs w:val="0"/>
          <w:lang w:eastAsia="zh-CN"/>
        </w:rPr>
      </w:pPr>
      <w:r>
        <w:rPr>
          <w:rFonts w:hint="eastAsia" w:ascii="黑体" w:hAnsi="黑体" w:eastAsia="黑体" w:cs="黑体"/>
          <w:b w:val="0"/>
          <w:bCs w:val="0"/>
          <w:sz w:val="32"/>
          <w:szCs w:val="40"/>
          <w:lang w:eastAsia="zh-CN"/>
        </w:rPr>
        <w:t>评分</w:t>
      </w:r>
      <w:r>
        <w:rPr>
          <w:rFonts w:hint="eastAsia" w:ascii="黑体" w:hAnsi="黑体" w:eastAsia="黑体" w:cs="黑体"/>
          <w:b w:val="0"/>
          <w:bCs w:val="0"/>
          <w:sz w:val="32"/>
          <w:szCs w:val="40"/>
          <w:lang w:val="en-US" w:eastAsia="zh-CN"/>
        </w:rPr>
        <w:t>细则</w:t>
      </w:r>
    </w:p>
    <w:tbl>
      <w:tblPr>
        <w:tblStyle w:val="18"/>
        <w:tblW w:w="9958" w:type="dxa"/>
        <w:jc w:val="center"/>
        <w:tblLayout w:type="fixed"/>
        <w:tblCellMar>
          <w:top w:w="0" w:type="dxa"/>
          <w:left w:w="108" w:type="dxa"/>
          <w:bottom w:w="0" w:type="dxa"/>
          <w:right w:w="108" w:type="dxa"/>
        </w:tblCellMar>
      </w:tblPr>
      <w:tblGrid>
        <w:gridCol w:w="579"/>
        <w:gridCol w:w="975"/>
        <w:gridCol w:w="908"/>
        <w:gridCol w:w="6510"/>
        <w:gridCol w:w="986"/>
      </w:tblGrid>
      <w:tr w14:paraId="5F2270FF">
        <w:tblPrEx>
          <w:tblCellMar>
            <w:top w:w="0" w:type="dxa"/>
            <w:left w:w="108" w:type="dxa"/>
            <w:bottom w:w="0" w:type="dxa"/>
            <w:right w:w="108" w:type="dxa"/>
          </w:tblCellMar>
        </w:tblPrEx>
        <w:trPr>
          <w:cantSplit/>
          <w:trHeight w:val="821"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14:paraId="59963665">
            <w:pPr>
              <w:widowControl/>
              <w:spacing w:line="320" w:lineRule="atLeast"/>
              <w:jc w:val="center"/>
              <w:rPr>
                <w:rFonts w:hint="default" w:ascii="Times New Roman" w:hAnsi="Times New Roman" w:eastAsia="仿宋" w:cs="Times New Roman"/>
                <w:b/>
                <w:kern w:val="1"/>
                <w:sz w:val="32"/>
                <w:szCs w:val="32"/>
              </w:rPr>
            </w:pPr>
            <w:r>
              <w:rPr>
                <w:rFonts w:hint="default" w:ascii="Times New Roman" w:hAnsi="Times New Roman" w:eastAsia="仿宋" w:cs="Times New Roman"/>
                <w:b/>
                <w:kern w:val="1"/>
                <w:sz w:val="32"/>
                <w:szCs w:val="32"/>
              </w:rPr>
              <w:t>序号</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68BCB6F">
            <w:pPr>
              <w:widowControl/>
              <w:spacing w:line="320" w:lineRule="atLeast"/>
              <w:jc w:val="center"/>
              <w:rPr>
                <w:rFonts w:hint="default" w:ascii="Times New Roman" w:hAnsi="Times New Roman" w:eastAsia="仿宋" w:cs="Times New Roman"/>
                <w:b/>
                <w:kern w:val="1"/>
                <w:sz w:val="32"/>
                <w:szCs w:val="32"/>
              </w:rPr>
            </w:pPr>
            <w:r>
              <w:rPr>
                <w:rFonts w:hint="default" w:ascii="Times New Roman" w:hAnsi="Times New Roman" w:eastAsia="仿宋" w:cs="Times New Roman"/>
                <w:b/>
                <w:kern w:val="1"/>
                <w:sz w:val="32"/>
                <w:szCs w:val="32"/>
              </w:rPr>
              <w:t>评分因素</w:t>
            </w:r>
          </w:p>
          <w:p w14:paraId="2F62A91B">
            <w:pPr>
              <w:widowControl/>
              <w:spacing w:line="320" w:lineRule="atLeast"/>
              <w:jc w:val="center"/>
              <w:rPr>
                <w:rFonts w:hint="default" w:ascii="Times New Roman" w:hAnsi="Times New Roman" w:eastAsia="仿宋" w:cs="Times New Roman"/>
                <w:b/>
                <w:kern w:val="1"/>
                <w:sz w:val="32"/>
                <w:szCs w:val="32"/>
              </w:rPr>
            </w:pPr>
            <w:r>
              <w:rPr>
                <w:rFonts w:hint="default" w:ascii="Times New Roman" w:hAnsi="Times New Roman" w:eastAsia="仿宋" w:cs="Times New Roman"/>
                <w:b/>
                <w:kern w:val="1"/>
                <w:sz w:val="32"/>
                <w:szCs w:val="32"/>
              </w:rPr>
              <w:t>及权重</w:t>
            </w: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5BB84B97">
            <w:pPr>
              <w:widowControl/>
              <w:spacing w:line="320" w:lineRule="atLeast"/>
              <w:jc w:val="center"/>
              <w:rPr>
                <w:rFonts w:hint="default" w:ascii="Times New Roman" w:hAnsi="Times New Roman" w:eastAsia="仿宋" w:cs="Times New Roman"/>
                <w:b/>
                <w:kern w:val="1"/>
                <w:sz w:val="32"/>
                <w:szCs w:val="32"/>
              </w:rPr>
            </w:pPr>
            <w:r>
              <w:rPr>
                <w:rFonts w:hint="default" w:ascii="Times New Roman" w:hAnsi="Times New Roman" w:eastAsia="仿宋" w:cs="Times New Roman"/>
                <w:b/>
                <w:kern w:val="1"/>
                <w:sz w:val="32"/>
                <w:szCs w:val="32"/>
              </w:rPr>
              <w:t>分值</w:t>
            </w:r>
          </w:p>
        </w:tc>
        <w:tc>
          <w:tcPr>
            <w:tcW w:w="6510" w:type="dxa"/>
            <w:tcBorders>
              <w:top w:val="single" w:color="000000" w:sz="4" w:space="0"/>
              <w:left w:val="single" w:color="000000" w:sz="4" w:space="0"/>
              <w:bottom w:val="single" w:color="000000" w:sz="4" w:space="0"/>
              <w:right w:val="single" w:color="000000" w:sz="4" w:space="0"/>
            </w:tcBorders>
            <w:noWrap/>
            <w:vAlign w:val="center"/>
          </w:tcPr>
          <w:p w14:paraId="426F2C2A">
            <w:pPr>
              <w:widowControl/>
              <w:spacing w:line="320" w:lineRule="atLeast"/>
              <w:jc w:val="center"/>
              <w:rPr>
                <w:rFonts w:hint="default" w:ascii="Times New Roman" w:hAnsi="Times New Roman" w:eastAsia="仿宋" w:cs="Times New Roman"/>
                <w:b/>
                <w:kern w:val="1"/>
                <w:sz w:val="32"/>
                <w:szCs w:val="32"/>
              </w:rPr>
            </w:pPr>
            <w:r>
              <w:rPr>
                <w:rFonts w:hint="default" w:ascii="Times New Roman" w:hAnsi="Times New Roman" w:eastAsia="仿宋" w:cs="Times New Roman"/>
                <w:b/>
                <w:kern w:val="1"/>
                <w:sz w:val="32"/>
                <w:szCs w:val="32"/>
              </w:rPr>
              <w:t>评分标准</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33787EA9">
            <w:pPr>
              <w:widowControl/>
              <w:spacing w:line="320" w:lineRule="atLeast"/>
              <w:jc w:val="center"/>
              <w:rPr>
                <w:rFonts w:hint="default" w:ascii="Times New Roman" w:hAnsi="Times New Roman" w:eastAsia="仿宋" w:cs="Times New Roman"/>
                <w:b/>
                <w:kern w:val="1"/>
                <w:sz w:val="32"/>
                <w:szCs w:val="32"/>
              </w:rPr>
            </w:pPr>
            <w:r>
              <w:rPr>
                <w:rFonts w:hint="default" w:ascii="Times New Roman" w:hAnsi="Times New Roman" w:eastAsia="仿宋" w:cs="Times New Roman"/>
                <w:b/>
                <w:kern w:val="1"/>
                <w:sz w:val="32"/>
                <w:szCs w:val="32"/>
              </w:rPr>
              <w:t>说 明</w:t>
            </w:r>
          </w:p>
        </w:tc>
      </w:tr>
      <w:tr w14:paraId="274CDC5F">
        <w:tblPrEx>
          <w:tblCellMar>
            <w:top w:w="0" w:type="dxa"/>
            <w:left w:w="108" w:type="dxa"/>
            <w:bottom w:w="0" w:type="dxa"/>
            <w:right w:w="108" w:type="dxa"/>
          </w:tblCellMar>
        </w:tblPrEx>
        <w:trPr>
          <w:trHeight w:val="1969"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14:paraId="2469B5C1">
            <w:pPr>
              <w:spacing w:line="320" w:lineRule="atLeast"/>
              <w:jc w:val="center"/>
              <w:rPr>
                <w:rFonts w:hint="default" w:ascii="Times New Roman" w:hAnsi="Times New Roman" w:eastAsia="仿宋" w:cs="Times New Roman"/>
                <w:kern w:val="1"/>
                <w:sz w:val="32"/>
                <w:szCs w:val="32"/>
              </w:rPr>
            </w:pPr>
            <w:r>
              <w:rPr>
                <w:rFonts w:hint="default" w:ascii="Times New Roman" w:hAnsi="Times New Roman" w:eastAsia="仿宋" w:cs="Times New Roman"/>
                <w:kern w:val="1"/>
                <w:sz w:val="32"/>
                <w:szCs w:val="32"/>
              </w:rPr>
              <w:t>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7951A58">
            <w:pPr>
              <w:spacing w:line="320" w:lineRule="atLeast"/>
              <w:jc w:val="center"/>
              <w:rPr>
                <w:rFonts w:hint="default" w:ascii="Times New Roman" w:hAnsi="Times New Roman" w:eastAsia="仿宋" w:cs="Times New Roman"/>
                <w:kern w:val="1"/>
                <w:sz w:val="32"/>
                <w:szCs w:val="32"/>
              </w:rPr>
            </w:pPr>
            <w:r>
              <w:rPr>
                <w:rFonts w:hint="default" w:ascii="Times New Roman" w:hAnsi="Times New Roman" w:eastAsia="仿宋" w:cs="Times New Roman"/>
                <w:kern w:val="1"/>
                <w:sz w:val="32"/>
                <w:szCs w:val="32"/>
              </w:rPr>
              <w:t>报价</w:t>
            </w: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1A38D91A">
            <w:pPr>
              <w:jc w:val="center"/>
              <w:rPr>
                <w:rFonts w:hint="default" w:ascii="Times New Roman" w:hAnsi="Times New Roman" w:eastAsia="仿宋" w:cs="Times New Roman"/>
                <w:kern w:val="1"/>
                <w:sz w:val="32"/>
                <w:szCs w:val="32"/>
                <w:lang w:val="en-US" w:eastAsia="zh-CN"/>
              </w:rPr>
            </w:pPr>
            <w:r>
              <w:rPr>
                <w:rFonts w:hint="default" w:ascii="Times New Roman" w:hAnsi="Times New Roman" w:eastAsia="仿宋" w:cs="Times New Roman"/>
                <w:kern w:val="1"/>
                <w:sz w:val="32"/>
                <w:szCs w:val="32"/>
                <w:lang w:val="en-US" w:eastAsia="zh-CN"/>
              </w:rPr>
              <w:t>60</w:t>
            </w:r>
          </w:p>
        </w:tc>
        <w:tc>
          <w:tcPr>
            <w:tcW w:w="6510" w:type="dxa"/>
            <w:tcBorders>
              <w:top w:val="single" w:color="000000" w:sz="4" w:space="0"/>
              <w:left w:val="single" w:color="000000" w:sz="4" w:space="0"/>
              <w:bottom w:val="single" w:color="000000" w:sz="4" w:space="0"/>
              <w:right w:val="single" w:color="000000" w:sz="4" w:space="0"/>
            </w:tcBorders>
            <w:noWrap/>
            <w:vAlign w:val="center"/>
          </w:tcPr>
          <w:p w14:paraId="4E57DBC4">
            <w:pPr>
              <w:jc w:val="both"/>
              <w:rPr>
                <w:rFonts w:hint="default" w:ascii="Times New Roman" w:hAnsi="Times New Roman" w:eastAsia="仿宋" w:cs="Times New Roman"/>
                <w:kern w:val="1"/>
                <w:sz w:val="32"/>
                <w:szCs w:val="32"/>
                <w:lang w:val="en-US" w:eastAsia="zh-CN"/>
              </w:rPr>
            </w:pPr>
          </w:p>
          <w:p w14:paraId="78482EA7">
            <w:pPr>
              <w:jc w:val="both"/>
              <w:rPr>
                <w:rFonts w:hint="default" w:ascii="Times New Roman" w:hAnsi="Times New Roman" w:eastAsia="仿宋" w:cs="Times New Roman"/>
                <w:kern w:val="1"/>
                <w:sz w:val="32"/>
                <w:szCs w:val="32"/>
                <w:lang w:val="en-US" w:eastAsia="zh-CN"/>
              </w:rPr>
            </w:pPr>
            <w:r>
              <w:rPr>
                <w:rFonts w:hint="default" w:ascii="Times New Roman" w:hAnsi="Times New Roman" w:eastAsia="仿宋" w:cs="Times New Roman"/>
                <w:kern w:val="1"/>
                <w:sz w:val="32"/>
                <w:szCs w:val="32"/>
                <w:lang w:val="en-US" w:eastAsia="zh-CN"/>
              </w:rPr>
              <w:t>投标报价=设备总价</w:t>
            </w:r>
            <w:r>
              <w:rPr>
                <w:rFonts w:hint="eastAsia" w:ascii="Times New Roman" w:hAnsi="Times New Roman" w:eastAsia="仿宋" w:cs="Times New Roman"/>
                <w:kern w:val="1"/>
                <w:sz w:val="32"/>
                <w:szCs w:val="32"/>
                <w:lang w:val="en-US" w:eastAsia="zh-CN"/>
              </w:rPr>
              <w:t>5%</w:t>
            </w:r>
            <w:r>
              <w:rPr>
                <w:rFonts w:hint="default" w:ascii="Times New Roman" w:hAnsi="Times New Roman" w:eastAsia="仿宋" w:cs="Times New Roman"/>
                <w:kern w:val="1"/>
                <w:sz w:val="32"/>
                <w:szCs w:val="32"/>
                <w:lang w:val="en-US" w:eastAsia="zh-CN"/>
              </w:rPr>
              <w:t>+耗材试剂</w:t>
            </w:r>
            <w:r>
              <w:rPr>
                <w:rFonts w:hint="eastAsia" w:ascii="Times New Roman" w:hAnsi="Times New Roman" w:eastAsia="仿宋" w:cs="Times New Roman"/>
                <w:kern w:val="1"/>
                <w:sz w:val="32"/>
                <w:szCs w:val="32"/>
                <w:lang w:val="en-US" w:eastAsia="zh-CN"/>
              </w:rPr>
              <w:t>总计95%</w:t>
            </w:r>
            <w:r>
              <w:rPr>
                <w:rFonts w:hint="default" w:ascii="Times New Roman" w:hAnsi="Times New Roman" w:eastAsia="仿宋" w:cs="Times New Roman"/>
                <w:kern w:val="1"/>
                <w:sz w:val="32"/>
                <w:szCs w:val="32"/>
                <w:lang w:val="en-US" w:eastAsia="zh-CN"/>
              </w:rPr>
              <w:t>；</w:t>
            </w:r>
          </w:p>
          <w:p w14:paraId="119355DC">
            <w:pPr>
              <w:jc w:val="both"/>
              <w:rPr>
                <w:rFonts w:hint="default" w:ascii="Times New Roman" w:hAnsi="Times New Roman" w:eastAsia="仿宋" w:cs="Times New Roman"/>
                <w:kern w:val="1"/>
                <w:sz w:val="32"/>
                <w:szCs w:val="32"/>
                <w:lang w:val="en-US" w:eastAsia="zh-CN"/>
              </w:rPr>
            </w:pPr>
            <w:r>
              <w:rPr>
                <w:rFonts w:hint="default" w:ascii="Times New Roman" w:hAnsi="Times New Roman" w:eastAsia="仿宋" w:cs="Times New Roman"/>
                <w:kern w:val="1"/>
                <w:sz w:val="32"/>
                <w:szCs w:val="32"/>
                <w:lang w:val="en-US" w:eastAsia="zh-CN"/>
              </w:rPr>
              <w:t>满足招标文件要求且投标价格最低的投标报价为评标基准价，其价格分为满分。其他供应商的价格分统一按照下列公式计算：投标报价得分=(评标基准价÷投标报价)×60</w:t>
            </w:r>
            <w:r>
              <w:rPr>
                <w:rFonts w:hint="default" w:ascii="Times New Roman" w:hAnsi="Times New Roman" w:eastAsia="仿宋" w:cs="Times New Roman"/>
                <w:color w:val="auto"/>
                <w:kern w:val="1"/>
                <w:sz w:val="32"/>
                <w:szCs w:val="32"/>
                <w:lang w:val="en-US" w:eastAsia="zh-CN"/>
              </w:rPr>
              <w:t>%</w:t>
            </w:r>
            <w:r>
              <w:rPr>
                <w:rFonts w:hint="default" w:ascii="Times New Roman" w:hAnsi="Times New Roman" w:eastAsia="仿宋" w:cs="Times New Roman"/>
                <w:kern w:val="1"/>
                <w:sz w:val="32"/>
                <w:szCs w:val="32"/>
                <w:lang w:val="en-US" w:eastAsia="zh-CN"/>
              </w:rPr>
              <w:t>×100。（最低价基准法）</w:t>
            </w:r>
          </w:p>
          <w:p w14:paraId="7A3A54D3">
            <w:pPr>
              <w:rPr>
                <w:rFonts w:hint="default" w:ascii="Times New Roman" w:hAnsi="Times New Roman" w:eastAsia="仿宋" w:cs="Times New Roman"/>
                <w:kern w:val="1"/>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250FC8B0">
            <w:pPr>
              <w:spacing w:line="320" w:lineRule="atLeas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共同评审因素</w:t>
            </w:r>
          </w:p>
        </w:tc>
      </w:tr>
      <w:tr w14:paraId="2E6C02BD">
        <w:tblPrEx>
          <w:tblCellMar>
            <w:top w:w="0" w:type="dxa"/>
            <w:left w:w="108" w:type="dxa"/>
            <w:bottom w:w="0" w:type="dxa"/>
            <w:right w:w="108" w:type="dxa"/>
          </w:tblCellMar>
        </w:tblPrEx>
        <w:trPr>
          <w:trHeight w:val="1821" w:hRule="atLeast"/>
          <w:jc w:val="center"/>
        </w:trPr>
        <w:tc>
          <w:tcPr>
            <w:tcW w:w="579" w:type="dxa"/>
            <w:tcBorders>
              <w:top w:val="single" w:color="000000" w:sz="4" w:space="0"/>
              <w:left w:val="single" w:color="000000" w:sz="4" w:space="0"/>
              <w:right w:val="single" w:color="000000" w:sz="4" w:space="0"/>
            </w:tcBorders>
            <w:noWrap/>
            <w:vAlign w:val="center"/>
          </w:tcPr>
          <w:p w14:paraId="4DBECEE1">
            <w:pPr>
              <w:spacing w:line="320" w:lineRule="atLeast"/>
              <w:jc w:val="center"/>
              <w:rPr>
                <w:rFonts w:hint="default" w:ascii="Times New Roman" w:hAnsi="Times New Roman" w:eastAsia="仿宋" w:cs="Times New Roman"/>
                <w:kern w:val="1"/>
                <w:sz w:val="32"/>
                <w:szCs w:val="32"/>
                <w:lang w:val="en-US" w:eastAsia="zh-CN"/>
              </w:rPr>
            </w:pPr>
            <w:r>
              <w:rPr>
                <w:rFonts w:hint="default" w:ascii="Times New Roman" w:hAnsi="Times New Roman" w:eastAsia="仿宋" w:cs="Times New Roman"/>
                <w:kern w:val="1"/>
                <w:sz w:val="32"/>
                <w:szCs w:val="32"/>
                <w:lang w:val="en-US" w:eastAsia="zh-CN"/>
              </w:rPr>
              <w:t>2</w:t>
            </w:r>
          </w:p>
        </w:tc>
        <w:tc>
          <w:tcPr>
            <w:tcW w:w="975" w:type="dxa"/>
            <w:tcBorders>
              <w:top w:val="single" w:color="000000" w:sz="4" w:space="0"/>
              <w:left w:val="single" w:color="000000" w:sz="4" w:space="0"/>
              <w:right w:val="single" w:color="000000" w:sz="4" w:space="0"/>
            </w:tcBorders>
            <w:noWrap/>
            <w:vAlign w:val="center"/>
          </w:tcPr>
          <w:p w14:paraId="1DC8A3FE">
            <w:pPr>
              <w:spacing w:line="320" w:lineRule="atLeast"/>
              <w:jc w:val="cente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技术参数响应</w:t>
            </w: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2724F0CB">
            <w:pPr>
              <w:jc w:val="center"/>
              <w:rPr>
                <w:rFonts w:hint="default" w:ascii="Times New Roman" w:hAnsi="Times New Roman" w:eastAsia="仿宋" w:cs="Times New Roman"/>
                <w:kern w:val="1"/>
                <w:sz w:val="32"/>
                <w:szCs w:val="32"/>
                <w:lang w:val="en-US" w:eastAsia="zh-CN"/>
              </w:rPr>
            </w:pPr>
            <w:r>
              <w:rPr>
                <w:rFonts w:hint="default" w:ascii="Times New Roman" w:hAnsi="Times New Roman" w:eastAsia="仿宋" w:cs="Times New Roman"/>
                <w:kern w:val="1"/>
                <w:sz w:val="32"/>
                <w:szCs w:val="32"/>
                <w:lang w:val="en-US" w:eastAsia="zh-CN"/>
              </w:rPr>
              <w:t>20</w:t>
            </w:r>
          </w:p>
        </w:tc>
        <w:tc>
          <w:tcPr>
            <w:tcW w:w="6510" w:type="dxa"/>
            <w:tcBorders>
              <w:top w:val="single" w:color="000000" w:sz="4" w:space="0"/>
              <w:left w:val="single" w:color="000000" w:sz="4" w:space="0"/>
              <w:right w:val="single" w:color="000000" w:sz="4" w:space="0"/>
            </w:tcBorders>
            <w:noWrap/>
            <w:vAlign w:val="center"/>
          </w:tcPr>
          <w:p w14:paraId="708D5517">
            <w:pPr>
              <w:rPr>
                <w:rFonts w:hint="default" w:ascii="Times New Roman" w:hAnsi="Times New Roman" w:eastAsia="仿宋" w:cs="Times New Roman"/>
                <w:kern w:val="1"/>
                <w:sz w:val="32"/>
                <w:szCs w:val="32"/>
                <w:lang w:val="en-US" w:eastAsia="zh-CN"/>
              </w:rPr>
            </w:pPr>
            <w:r>
              <w:rPr>
                <w:rFonts w:hint="default" w:ascii="Times New Roman" w:hAnsi="Times New Roman" w:eastAsia="仿宋" w:cs="Times New Roman"/>
                <w:kern w:val="1"/>
                <w:sz w:val="32"/>
                <w:szCs w:val="32"/>
                <w:lang w:val="en-US" w:eastAsia="zh-CN"/>
              </w:rPr>
              <w:t>根据技术参数一览表，除“★”项外，每响应一项得2分，未响应不得分。</w:t>
            </w:r>
          </w:p>
        </w:tc>
        <w:tc>
          <w:tcPr>
            <w:tcW w:w="986" w:type="dxa"/>
            <w:tcBorders>
              <w:top w:val="single" w:color="000000" w:sz="4" w:space="0"/>
              <w:left w:val="single" w:color="000000" w:sz="4" w:space="0"/>
              <w:right w:val="single" w:color="000000" w:sz="4" w:space="0"/>
            </w:tcBorders>
            <w:noWrap/>
            <w:vAlign w:val="center"/>
          </w:tcPr>
          <w:p w14:paraId="5A24C390">
            <w:pPr>
              <w:spacing w:line="320" w:lineRule="atLeast"/>
              <w:jc w:val="center"/>
              <w:rPr>
                <w:rFonts w:hint="default" w:ascii="Times New Roman" w:hAnsi="Times New Roman" w:eastAsia="仿宋" w:cs="Times New Roman"/>
                <w:sz w:val="32"/>
                <w:szCs w:val="32"/>
              </w:rPr>
            </w:pPr>
          </w:p>
        </w:tc>
      </w:tr>
      <w:tr w14:paraId="11ACCAB8">
        <w:tblPrEx>
          <w:tblCellMar>
            <w:top w:w="0" w:type="dxa"/>
            <w:left w:w="108" w:type="dxa"/>
            <w:bottom w:w="0" w:type="dxa"/>
            <w:right w:w="108" w:type="dxa"/>
          </w:tblCellMar>
        </w:tblPrEx>
        <w:trPr>
          <w:trHeight w:val="3666"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DC1C">
            <w:pPr>
              <w:spacing w:line="320" w:lineRule="atLeast"/>
              <w:jc w:val="center"/>
              <w:rPr>
                <w:rFonts w:hint="default" w:ascii="Times New Roman" w:hAnsi="Times New Roman" w:eastAsia="仿宋" w:cs="Times New Roman"/>
                <w:kern w:val="1"/>
                <w:sz w:val="32"/>
                <w:szCs w:val="32"/>
                <w:lang w:val="en-US" w:eastAsia="zh-CN" w:bidi="ar-SA"/>
              </w:rPr>
            </w:pPr>
            <w:r>
              <w:rPr>
                <w:rFonts w:hint="default" w:ascii="Times New Roman" w:hAnsi="Times New Roman" w:eastAsia="仿宋" w:cs="Times New Roman"/>
                <w:kern w:val="1"/>
                <w:sz w:val="32"/>
                <w:szCs w:val="32"/>
                <w:lang w:val="en-US" w:eastAsia="zh-CN"/>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A95E">
            <w:pPr>
              <w:spacing w:line="320" w:lineRule="atLeast"/>
              <w:jc w:val="center"/>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lang w:val="en-US" w:eastAsia="zh-CN"/>
              </w:rPr>
              <w:t>售后方案</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DDE8">
            <w:pPr>
              <w:jc w:val="center"/>
              <w:rPr>
                <w:rFonts w:hint="default" w:ascii="Times New Roman" w:hAnsi="Times New Roman" w:eastAsia="仿宋" w:cs="Times New Roman"/>
                <w:lang w:val="en-US" w:eastAsia="zh-CN"/>
              </w:rPr>
            </w:pPr>
            <w:r>
              <w:rPr>
                <w:rFonts w:hint="default" w:ascii="Times New Roman" w:hAnsi="Times New Roman" w:eastAsia="仿宋" w:cs="Times New Roman"/>
                <w:kern w:val="1"/>
                <w:sz w:val="32"/>
                <w:szCs w:val="32"/>
                <w:lang w:val="en-US" w:eastAsia="zh-CN" w:bidi="ar-SA"/>
              </w:rPr>
              <w:t>20</w:t>
            </w:r>
          </w:p>
        </w:tc>
        <w:tc>
          <w:tcPr>
            <w:tcW w:w="6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C7D5">
            <w:pP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服务方案进行综合评审：项目实施及售后服务方案包括但不限于：</w:t>
            </w:r>
          </w:p>
          <w:p w14:paraId="3026A4A5">
            <w:pP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①供货计划以投标文件为准。（包含但不限于产品出入库管理、配送流程）；</w:t>
            </w:r>
          </w:p>
          <w:p w14:paraId="3E6CC1C5">
            <w:pP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②设备使用培训计划及课程安排；</w:t>
            </w:r>
          </w:p>
          <w:p w14:paraId="41157C55">
            <w:pP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③产品质量保证措施；</w:t>
            </w:r>
          </w:p>
          <w:p w14:paraId="29BC8E17">
            <w:pP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④退、换货处理方案；</w:t>
            </w:r>
          </w:p>
          <w:p w14:paraId="3F7F3A92">
            <w:pP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⑤售后服务人员配备及职责分工；</w:t>
            </w:r>
          </w:p>
          <w:p w14:paraId="3ECAC7DF">
            <w:pPr>
              <w:rPr>
                <w:rFonts w:hint="default" w:ascii="Times New Roman" w:hAnsi="Times New Roman" w:eastAsia="仿宋" w:cs="Times New Roman"/>
                <w:kern w:val="1"/>
                <w:sz w:val="32"/>
                <w:szCs w:val="32"/>
                <w:lang w:val="en-US" w:eastAsia="zh-CN" w:bidi="ar-SA"/>
              </w:rPr>
            </w:pPr>
            <w:r>
              <w:rPr>
                <w:rFonts w:hint="default" w:ascii="Times New Roman" w:hAnsi="Times New Roman" w:eastAsia="仿宋" w:cs="Times New Roman"/>
                <w:sz w:val="32"/>
                <w:szCs w:val="32"/>
                <w:lang w:val="en-US" w:eastAsia="zh-CN"/>
              </w:rPr>
              <w:t>每项</w:t>
            </w:r>
            <w:r>
              <w:rPr>
                <w:rFonts w:hint="eastAsia" w:ascii="Times New Roman" w:hAnsi="Times New Roman" w:eastAsia="仿宋" w:cs="Times New Roman"/>
                <w:sz w:val="32"/>
                <w:szCs w:val="32"/>
                <w:lang w:val="en-US" w:eastAsia="zh-CN"/>
              </w:rPr>
              <w:t>分值0-4分，</w:t>
            </w:r>
            <w:r>
              <w:rPr>
                <w:rFonts w:hint="default" w:ascii="Times New Roman" w:hAnsi="Times New Roman" w:eastAsia="仿宋" w:cs="Times New Roman"/>
                <w:sz w:val="32"/>
                <w:szCs w:val="32"/>
                <w:lang w:val="en-US" w:eastAsia="zh-CN"/>
              </w:rPr>
              <w:t>完整且合理得4分。</w:t>
            </w:r>
          </w:p>
        </w:tc>
        <w:tc>
          <w:tcPr>
            <w:tcW w:w="98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E2551CF">
            <w:pPr>
              <w:spacing w:line="320" w:lineRule="atLeast"/>
              <w:jc w:val="center"/>
              <w:rPr>
                <w:rFonts w:hint="default" w:ascii="Times New Roman" w:hAnsi="Times New Roman" w:eastAsia="仿宋" w:cs="Times New Roman"/>
                <w:kern w:val="2"/>
                <w:sz w:val="32"/>
                <w:szCs w:val="32"/>
                <w:lang w:val="en-US" w:eastAsia="zh-CN" w:bidi="ar-SA"/>
              </w:rPr>
            </w:pPr>
          </w:p>
        </w:tc>
      </w:tr>
    </w:tbl>
    <w:p w14:paraId="2E738F77">
      <w:pPr>
        <w:rPr>
          <w:rFonts w:hint="eastAsia" w:ascii="黑体" w:hAnsi="黑体" w:eastAsia="黑体" w:cs="黑体"/>
          <w:lang w:eastAsia="zh-CN"/>
        </w:rPr>
      </w:pPr>
    </w:p>
    <w:p w14:paraId="380FC1B4">
      <w:pPr>
        <w:rPr>
          <w:rFonts w:hint="eastAsia" w:ascii="黑体" w:hAnsi="黑体" w:eastAsia="黑体" w:cs="黑体"/>
          <w:lang w:eastAsia="zh-CN"/>
        </w:rPr>
      </w:pPr>
    </w:p>
    <w:sectPr>
      <w:type w:val="continuous"/>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13C9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850F4">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3850F4">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499F5">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2D06A">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72D06A">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A81CD">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618E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23618EC">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2C9B8">
    <w:pPr>
      <w:pStyle w:val="14"/>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E0BA">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5A9DB"/>
    <w:multiLevelType w:val="singleLevel"/>
    <w:tmpl w:val="9B05A9DB"/>
    <w:lvl w:ilvl="0" w:tentative="0">
      <w:start w:val="1"/>
      <w:numFmt w:val="decimal"/>
      <w:lvlText w:val="%1."/>
      <w:lvlJc w:val="left"/>
      <w:pPr>
        <w:tabs>
          <w:tab w:val="left" w:pos="312"/>
        </w:tabs>
      </w:pPr>
    </w:lvl>
  </w:abstractNum>
  <w:abstractNum w:abstractNumId="1">
    <w:nsid w:val="C0B0FD13"/>
    <w:multiLevelType w:val="singleLevel"/>
    <w:tmpl w:val="C0B0FD13"/>
    <w:lvl w:ilvl="0" w:tentative="0">
      <w:start w:val="4"/>
      <w:numFmt w:val="chineseCounting"/>
      <w:suff w:val="space"/>
      <w:lvlText w:val="第%1章"/>
      <w:lvlJc w:val="left"/>
      <w:rPr>
        <w:rFonts w:hint="eastAsia"/>
      </w:rPr>
    </w:lvl>
  </w:abstractNum>
  <w:abstractNum w:abstractNumId="2">
    <w:nsid w:val="C45F5704"/>
    <w:multiLevelType w:val="singleLevel"/>
    <w:tmpl w:val="C45F5704"/>
    <w:lvl w:ilvl="0" w:tentative="0">
      <w:start w:val="1"/>
      <w:numFmt w:val="chineseCounting"/>
      <w:suff w:val="nothing"/>
      <w:lvlText w:val="%1、"/>
      <w:lvlJc w:val="left"/>
      <w:rPr>
        <w:rFonts w:hint="eastAsia"/>
      </w:rPr>
    </w:lvl>
  </w:abstractNum>
  <w:abstractNum w:abstractNumId="3">
    <w:nsid w:val="1D6A547E"/>
    <w:multiLevelType w:val="singleLevel"/>
    <w:tmpl w:val="1D6A547E"/>
    <w:lvl w:ilvl="0" w:tentative="0">
      <w:start w:val="1"/>
      <w:numFmt w:val="decimal"/>
      <w:suff w:val="nothing"/>
      <w:lvlText w:val="%1、"/>
      <w:lvlJc w:val="left"/>
      <w:pPr>
        <w:ind w:left="210"/>
      </w:pPr>
    </w:lvl>
  </w:abstractNum>
  <w:abstractNum w:abstractNumId="4">
    <w:nsid w:val="34DF0DD8"/>
    <w:multiLevelType w:val="singleLevel"/>
    <w:tmpl w:val="34DF0DD8"/>
    <w:lvl w:ilvl="0" w:tentative="0">
      <w:start w:val="1"/>
      <w:numFmt w:val="chineseCounting"/>
      <w:suff w:val="nothing"/>
      <w:lvlText w:val="%1、"/>
      <w:lvlJc w:val="left"/>
      <w:rPr>
        <w:rFonts w:hint="eastAsia"/>
      </w:rPr>
    </w:lvl>
  </w:abstractNum>
  <w:abstractNum w:abstractNumId="5">
    <w:nsid w:val="47A5BE86"/>
    <w:multiLevelType w:val="singleLevel"/>
    <w:tmpl w:val="47A5BE86"/>
    <w:lvl w:ilvl="0" w:tentative="0">
      <w:start w:val="1"/>
      <w:numFmt w:val="decimal"/>
      <w:suff w:val="nothing"/>
      <w:lvlText w:val="（%1）"/>
      <w:lvlJc w:val="left"/>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mFmMGFkNTkxMTc3Y2Q4ODdmNWVhNTFmYjU5MjcifQ=="/>
  </w:docVars>
  <w:rsids>
    <w:rsidRoot w:val="20B86F62"/>
    <w:rsid w:val="00FE51BA"/>
    <w:rsid w:val="01724615"/>
    <w:rsid w:val="01AC44D5"/>
    <w:rsid w:val="01DA1F83"/>
    <w:rsid w:val="02653FAC"/>
    <w:rsid w:val="038264FB"/>
    <w:rsid w:val="03E45948"/>
    <w:rsid w:val="03EB6F22"/>
    <w:rsid w:val="047A7398"/>
    <w:rsid w:val="04976AF6"/>
    <w:rsid w:val="05813897"/>
    <w:rsid w:val="05B93485"/>
    <w:rsid w:val="05DD44EC"/>
    <w:rsid w:val="05FA4A68"/>
    <w:rsid w:val="06C83EF1"/>
    <w:rsid w:val="07954271"/>
    <w:rsid w:val="07E32607"/>
    <w:rsid w:val="083F7233"/>
    <w:rsid w:val="08570094"/>
    <w:rsid w:val="0892424A"/>
    <w:rsid w:val="08A100E8"/>
    <w:rsid w:val="08D706EB"/>
    <w:rsid w:val="09281C73"/>
    <w:rsid w:val="092B0852"/>
    <w:rsid w:val="0A5766D2"/>
    <w:rsid w:val="0B4B5BCA"/>
    <w:rsid w:val="0B5B6EA7"/>
    <w:rsid w:val="0B9B184D"/>
    <w:rsid w:val="0B9F6FAE"/>
    <w:rsid w:val="0BBF2600"/>
    <w:rsid w:val="0BD81C2A"/>
    <w:rsid w:val="0C0505C6"/>
    <w:rsid w:val="0C3E61B9"/>
    <w:rsid w:val="0D2A1D10"/>
    <w:rsid w:val="0DA12370"/>
    <w:rsid w:val="0DBF0EC4"/>
    <w:rsid w:val="0DE40DBE"/>
    <w:rsid w:val="0E672DB3"/>
    <w:rsid w:val="0E904937"/>
    <w:rsid w:val="0E9E1831"/>
    <w:rsid w:val="0EAB0093"/>
    <w:rsid w:val="0F225786"/>
    <w:rsid w:val="0FCE2C6B"/>
    <w:rsid w:val="107F49DA"/>
    <w:rsid w:val="10B03C9B"/>
    <w:rsid w:val="11103FB2"/>
    <w:rsid w:val="11106DD4"/>
    <w:rsid w:val="113065C7"/>
    <w:rsid w:val="11551C0D"/>
    <w:rsid w:val="11630C29"/>
    <w:rsid w:val="11C61B60"/>
    <w:rsid w:val="11CD3786"/>
    <w:rsid w:val="12374305"/>
    <w:rsid w:val="12AB3D92"/>
    <w:rsid w:val="132D67B3"/>
    <w:rsid w:val="13320F8E"/>
    <w:rsid w:val="139D4FEA"/>
    <w:rsid w:val="13E72023"/>
    <w:rsid w:val="13E7631D"/>
    <w:rsid w:val="142A2C97"/>
    <w:rsid w:val="15246309"/>
    <w:rsid w:val="159705C2"/>
    <w:rsid w:val="182F44F3"/>
    <w:rsid w:val="184E41FF"/>
    <w:rsid w:val="1865790E"/>
    <w:rsid w:val="189E6B7E"/>
    <w:rsid w:val="18E41C4F"/>
    <w:rsid w:val="18EA25BB"/>
    <w:rsid w:val="193B3817"/>
    <w:rsid w:val="19497A6B"/>
    <w:rsid w:val="1998123A"/>
    <w:rsid w:val="19DF1744"/>
    <w:rsid w:val="1A8B6B5A"/>
    <w:rsid w:val="1AAD22C9"/>
    <w:rsid w:val="1AE736E0"/>
    <w:rsid w:val="1AF5353D"/>
    <w:rsid w:val="1B331212"/>
    <w:rsid w:val="1B493578"/>
    <w:rsid w:val="1B5723EF"/>
    <w:rsid w:val="1B93321C"/>
    <w:rsid w:val="1BAD400C"/>
    <w:rsid w:val="1BF858DE"/>
    <w:rsid w:val="1C380FAC"/>
    <w:rsid w:val="1D4132E8"/>
    <w:rsid w:val="1D623594"/>
    <w:rsid w:val="1DE81A96"/>
    <w:rsid w:val="1E4521C9"/>
    <w:rsid w:val="1EC85776"/>
    <w:rsid w:val="1F0B1E38"/>
    <w:rsid w:val="1F176598"/>
    <w:rsid w:val="1F782175"/>
    <w:rsid w:val="1FFB4E00"/>
    <w:rsid w:val="200C1DCC"/>
    <w:rsid w:val="200E45F1"/>
    <w:rsid w:val="2024443A"/>
    <w:rsid w:val="20B62B46"/>
    <w:rsid w:val="20B86F62"/>
    <w:rsid w:val="20DA469D"/>
    <w:rsid w:val="21141E9E"/>
    <w:rsid w:val="218C6C54"/>
    <w:rsid w:val="219C0C5F"/>
    <w:rsid w:val="223E3923"/>
    <w:rsid w:val="22CD72A0"/>
    <w:rsid w:val="22DC6C27"/>
    <w:rsid w:val="230709BE"/>
    <w:rsid w:val="232E6BE4"/>
    <w:rsid w:val="2333299E"/>
    <w:rsid w:val="23B92E0F"/>
    <w:rsid w:val="23BA5744"/>
    <w:rsid w:val="24640781"/>
    <w:rsid w:val="24972E1D"/>
    <w:rsid w:val="250F002D"/>
    <w:rsid w:val="2575459C"/>
    <w:rsid w:val="258F1C50"/>
    <w:rsid w:val="260C2C13"/>
    <w:rsid w:val="26DE5391"/>
    <w:rsid w:val="26F92D9C"/>
    <w:rsid w:val="27727EF2"/>
    <w:rsid w:val="27E167C8"/>
    <w:rsid w:val="27E8188C"/>
    <w:rsid w:val="27FC6D6D"/>
    <w:rsid w:val="28094EEC"/>
    <w:rsid w:val="280F7F64"/>
    <w:rsid w:val="286E79EF"/>
    <w:rsid w:val="295D2E54"/>
    <w:rsid w:val="29E733A5"/>
    <w:rsid w:val="29EC6ACA"/>
    <w:rsid w:val="2A6F6F5A"/>
    <w:rsid w:val="2A752D03"/>
    <w:rsid w:val="2A954942"/>
    <w:rsid w:val="2AD02384"/>
    <w:rsid w:val="2B4A4982"/>
    <w:rsid w:val="2B6C2AA5"/>
    <w:rsid w:val="2C3A64AA"/>
    <w:rsid w:val="2C603C27"/>
    <w:rsid w:val="2CC9483E"/>
    <w:rsid w:val="2CD61AC0"/>
    <w:rsid w:val="2D003A0D"/>
    <w:rsid w:val="2D225054"/>
    <w:rsid w:val="2D3E76EB"/>
    <w:rsid w:val="2D675D4F"/>
    <w:rsid w:val="2DAD2928"/>
    <w:rsid w:val="2E3D6C9E"/>
    <w:rsid w:val="2E681D4B"/>
    <w:rsid w:val="2E763F41"/>
    <w:rsid w:val="2ED755ED"/>
    <w:rsid w:val="2EFF3B7B"/>
    <w:rsid w:val="2F012004"/>
    <w:rsid w:val="2F2D5CF3"/>
    <w:rsid w:val="2F901CEA"/>
    <w:rsid w:val="2FFD053A"/>
    <w:rsid w:val="305074F8"/>
    <w:rsid w:val="30567424"/>
    <w:rsid w:val="30A47F0F"/>
    <w:rsid w:val="31AE2E30"/>
    <w:rsid w:val="32145B6C"/>
    <w:rsid w:val="32482F63"/>
    <w:rsid w:val="32887A79"/>
    <w:rsid w:val="3367096B"/>
    <w:rsid w:val="34015BA1"/>
    <w:rsid w:val="34104944"/>
    <w:rsid w:val="34607C42"/>
    <w:rsid w:val="34754B19"/>
    <w:rsid w:val="34AD3121"/>
    <w:rsid w:val="35850C85"/>
    <w:rsid w:val="358537EA"/>
    <w:rsid w:val="36206E51"/>
    <w:rsid w:val="3645059F"/>
    <w:rsid w:val="36FA0C0E"/>
    <w:rsid w:val="37564C34"/>
    <w:rsid w:val="37AF0C3F"/>
    <w:rsid w:val="381338B3"/>
    <w:rsid w:val="387820A1"/>
    <w:rsid w:val="391D2725"/>
    <w:rsid w:val="39241426"/>
    <w:rsid w:val="3A0A5821"/>
    <w:rsid w:val="3A13303C"/>
    <w:rsid w:val="3AE30FAC"/>
    <w:rsid w:val="3B3A67B9"/>
    <w:rsid w:val="3B572D45"/>
    <w:rsid w:val="3BB47094"/>
    <w:rsid w:val="3BD82555"/>
    <w:rsid w:val="3C396CD8"/>
    <w:rsid w:val="3C4A3B50"/>
    <w:rsid w:val="3D912EF9"/>
    <w:rsid w:val="3DA25E25"/>
    <w:rsid w:val="3E103198"/>
    <w:rsid w:val="3E346E0B"/>
    <w:rsid w:val="3E5C675F"/>
    <w:rsid w:val="3EBE1131"/>
    <w:rsid w:val="3F541632"/>
    <w:rsid w:val="4003626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AB6CB7"/>
    <w:rsid w:val="44CD6391"/>
    <w:rsid w:val="44D30BA5"/>
    <w:rsid w:val="44D66D93"/>
    <w:rsid w:val="44E060BF"/>
    <w:rsid w:val="45484D77"/>
    <w:rsid w:val="45976AE3"/>
    <w:rsid w:val="45D1027C"/>
    <w:rsid w:val="46653F5C"/>
    <w:rsid w:val="4670116D"/>
    <w:rsid w:val="46BF177E"/>
    <w:rsid w:val="46CC0FBC"/>
    <w:rsid w:val="46F821E8"/>
    <w:rsid w:val="47E92A18"/>
    <w:rsid w:val="484F3834"/>
    <w:rsid w:val="486A1208"/>
    <w:rsid w:val="487E3CCE"/>
    <w:rsid w:val="491D7010"/>
    <w:rsid w:val="49E714D8"/>
    <w:rsid w:val="49F61C6A"/>
    <w:rsid w:val="4A2F0F8F"/>
    <w:rsid w:val="4B21070C"/>
    <w:rsid w:val="4BE11211"/>
    <w:rsid w:val="4C6D260E"/>
    <w:rsid w:val="4CA65850"/>
    <w:rsid w:val="4D4867BB"/>
    <w:rsid w:val="4D7854C0"/>
    <w:rsid w:val="4E1C022A"/>
    <w:rsid w:val="4E1E1D89"/>
    <w:rsid w:val="4F8D071A"/>
    <w:rsid w:val="4FA771C2"/>
    <w:rsid w:val="4FDC7DDA"/>
    <w:rsid w:val="5003209D"/>
    <w:rsid w:val="508E2B4E"/>
    <w:rsid w:val="524A480D"/>
    <w:rsid w:val="52517189"/>
    <w:rsid w:val="5263348D"/>
    <w:rsid w:val="527E7420"/>
    <w:rsid w:val="5292301A"/>
    <w:rsid w:val="52C10CD7"/>
    <w:rsid w:val="52F64CB8"/>
    <w:rsid w:val="52FB39A7"/>
    <w:rsid w:val="531641E9"/>
    <w:rsid w:val="5446604D"/>
    <w:rsid w:val="547E1AE0"/>
    <w:rsid w:val="5495528E"/>
    <w:rsid w:val="54F554AC"/>
    <w:rsid w:val="551A0D5D"/>
    <w:rsid w:val="55382EA9"/>
    <w:rsid w:val="55EE4C06"/>
    <w:rsid w:val="561A148B"/>
    <w:rsid w:val="565B213D"/>
    <w:rsid w:val="56D444B4"/>
    <w:rsid w:val="572D0183"/>
    <w:rsid w:val="57311021"/>
    <w:rsid w:val="57567F4A"/>
    <w:rsid w:val="57667B7B"/>
    <w:rsid w:val="578D66D2"/>
    <w:rsid w:val="58367041"/>
    <w:rsid w:val="583A1E71"/>
    <w:rsid w:val="584A40DF"/>
    <w:rsid w:val="587813EB"/>
    <w:rsid w:val="589814E3"/>
    <w:rsid w:val="58B969E6"/>
    <w:rsid w:val="58C42CE6"/>
    <w:rsid w:val="58D95C71"/>
    <w:rsid w:val="59035A6B"/>
    <w:rsid w:val="592C7507"/>
    <w:rsid w:val="599907F5"/>
    <w:rsid w:val="59A37B89"/>
    <w:rsid w:val="59D35B7E"/>
    <w:rsid w:val="5ACD5802"/>
    <w:rsid w:val="5AD77D82"/>
    <w:rsid w:val="5B134CBA"/>
    <w:rsid w:val="5B214FE3"/>
    <w:rsid w:val="5C557763"/>
    <w:rsid w:val="5C6D1041"/>
    <w:rsid w:val="5CC74DB0"/>
    <w:rsid w:val="5DA41796"/>
    <w:rsid w:val="5DC167D7"/>
    <w:rsid w:val="5F0E08C6"/>
    <w:rsid w:val="5F5075CA"/>
    <w:rsid w:val="5F7007A2"/>
    <w:rsid w:val="5F85487D"/>
    <w:rsid w:val="5FB650D9"/>
    <w:rsid w:val="6096215E"/>
    <w:rsid w:val="62A65D39"/>
    <w:rsid w:val="62B86D17"/>
    <w:rsid w:val="62C824CA"/>
    <w:rsid w:val="642A2386"/>
    <w:rsid w:val="64677320"/>
    <w:rsid w:val="64D6505C"/>
    <w:rsid w:val="653C0392"/>
    <w:rsid w:val="65457634"/>
    <w:rsid w:val="6586792A"/>
    <w:rsid w:val="65DD20B3"/>
    <w:rsid w:val="662C503A"/>
    <w:rsid w:val="66BB543F"/>
    <w:rsid w:val="66C47D68"/>
    <w:rsid w:val="67A45BAF"/>
    <w:rsid w:val="67CF5796"/>
    <w:rsid w:val="6855309E"/>
    <w:rsid w:val="68B23C16"/>
    <w:rsid w:val="69264D03"/>
    <w:rsid w:val="694F76A8"/>
    <w:rsid w:val="69884565"/>
    <w:rsid w:val="69F16575"/>
    <w:rsid w:val="69FE6269"/>
    <w:rsid w:val="6A694D9B"/>
    <w:rsid w:val="6A8317AD"/>
    <w:rsid w:val="6B110ED0"/>
    <w:rsid w:val="6B3D74AC"/>
    <w:rsid w:val="6BC81A19"/>
    <w:rsid w:val="6BF5199F"/>
    <w:rsid w:val="6C5166E0"/>
    <w:rsid w:val="6C81461E"/>
    <w:rsid w:val="6CE610BF"/>
    <w:rsid w:val="6CED312F"/>
    <w:rsid w:val="6D1916FD"/>
    <w:rsid w:val="6D226C43"/>
    <w:rsid w:val="6D535020"/>
    <w:rsid w:val="6DCF5925"/>
    <w:rsid w:val="6E383ABA"/>
    <w:rsid w:val="6E412EFC"/>
    <w:rsid w:val="6E8B493F"/>
    <w:rsid w:val="6EA3545A"/>
    <w:rsid w:val="6F9F7F7D"/>
    <w:rsid w:val="719A4F83"/>
    <w:rsid w:val="71B15F38"/>
    <w:rsid w:val="71DE50A5"/>
    <w:rsid w:val="722B548E"/>
    <w:rsid w:val="722E4AEA"/>
    <w:rsid w:val="73683978"/>
    <w:rsid w:val="73F43F5E"/>
    <w:rsid w:val="7438150C"/>
    <w:rsid w:val="746F037C"/>
    <w:rsid w:val="74F82EAA"/>
    <w:rsid w:val="75457DB7"/>
    <w:rsid w:val="7563067A"/>
    <w:rsid w:val="75E55D62"/>
    <w:rsid w:val="761D234C"/>
    <w:rsid w:val="76466533"/>
    <w:rsid w:val="769413F2"/>
    <w:rsid w:val="77F97E1C"/>
    <w:rsid w:val="785111E8"/>
    <w:rsid w:val="78E831F4"/>
    <w:rsid w:val="796E6768"/>
    <w:rsid w:val="79A15BA9"/>
    <w:rsid w:val="79AC141B"/>
    <w:rsid w:val="79B51E35"/>
    <w:rsid w:val="79EA27D4"/>
    <w:rsid w:val="7AE23540"/>
    <w:rsid w:val="7AF27780"/>
    <w:rsid w:val="7BE17F0A"/>
    <w:rsid w:val="7C29457B"/>
    <w:rsid w:val="7CC2083F"/>
    <w:rsid w:val="7CE9423F"/>
    <w:rsid w:val="7D9A1A1C"/>
    <w:rsid w:val="7E163DF2"/>
    <w:rsid w:val="7E1D587C"/>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4"/>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4">
    <w:name w:val="heading 2"/>
    <w:basedOn w:val="1"/>
    <w:next w:val="1"/>
    <w:link w:val="34"/>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Document Map"/>
    <w:basedOn w:val="1"/>
    <w:next w:val="1"/>
    <w:qFormat/>
    <w:uiPriority w:val="0"/>
    <w:rPr>
      <w:rFonts w:ascii="宋体"/>
      <w:sz w:val="18"/>
      <w:szCs w:val="18"/>
    </w:rPr>
  </w:style>
  <w:style w:type="paragraph" w:styleId="6">
    <w:name w:val="Body Text"/>
    <w:basedOn w:val="1"/>
    <w:next w:val="7"/>
    <w:qFormat/>
    <w:uiPriority w:val="0"/>
    <w:pPr>
      <w:spacing w:after="120" w:afterLines="0" w:afterAutospacing="0"/>
    </w:pPr>
  </w:style>
  <w:style w:type="paragraph" w:styleId="7">
    <w:name w:val="Quote"/>
    <w:basedOn w:val="1"/>
    <w:next w:val="1"/>
    <w:qFormat/>
    <w:uiPriority w:val="0"/>
    <w:rPr>
      <w:i/>
      <w:iCs/>
      <w:color w:val="000000"/>
      <w:szCs w:val="22"/>
    </w:rPr>
  </w:style>
  <w:style w:type="paragraph" w:styleId="8">
    <w:name w:val="Body Text Indent"/>
    <w:basedOn w:val="1"/>
    <w:next w:val="9"/>
    <w:qFormat/>
    <w:uiPriority w:val="0"/>
    <w:pPr>
      <w:spacing w:after="120" w:afterLines="0"/>
      <w:ind w:left="420" w:leftChars="200"/>
    </w:pPr>
  </w:style>
  <w:style w:type="paragraph" w:styleId="9">
    <w:name w:val="envelope return"/>
    <w:basedOn w:val="1"/>
    <w:qFormat/>
    <w:uiPriority w:val="0"/>
    <w:pPr>
      <w:snapToGrid w:val="0"/>
    </w:pPr>
    <w:rPr>
      <w:rFonts w:ascii="Arial" w:hAnsi="Arial"/>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Cs w:val="20"/>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9628"/>
      </w:tabs>
      <w:spacing w:line="360" w:lineRule="auto"/>
      <w:jc w:val="center"/>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6"/>
    <w:qFormat/>
    <w:uiPriority w:val="0"/>
    <w:pPr>
      <w:ind w:firstLine="420" w:firstLineChars="100"/>
    </w:pPr>
    <w:rPr>
      <w:rFonts w:ascii="Times New Roman" w:hAnsi="Times New Roman" w:eastAsia="宋体" w:cs="Times New Roman"/>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qFormat/>
    <w:uiPriority w:val="0"/>
    <w:rPr>
      <w:color w:val="0000FF"/>
      <w:u w:val="single"/>
    </w:rPr>
  </w:style>
  <w:style w:type="character" w:customStyle="1" w:styleId="24">
    <w:name w:val="标题 1 Char"/>
    <w:link w:val="3"/>
    <w:qFormat/>
    <w:uiPriority w:val="0"/>
    <w:rPr>
      <w:rFonts w:hint="eastAsia" w:ascii="Times New Roman" w:hAnsi="Times New Roman" w:eastAsia="宋体"/>
      <w:b/>
      <w:color w:val="000000"/>
      <w:kern w:val="44"/>
      <w:sz w:val="44"/>
      <w:lang w:val="zh-CN"/>
    </w:rPr>
  </w:style>
  <w:style w:type="paragraph" w:customStyle="1" w:styleId="25">
    <w:name w:val="正文首行缩进两字符"/>
    <w:basedOn w:val="1"/>
    <w:qFormat/>
    <w:uiPriority w:val="0"/>
    <w:pPr>
      <w:spacing w:line="360" w:lineRule="auto"/>
      <w:ind w:firstLine="200" w:firstLineChars="200"/>
    </w:pPr>
  </w:style>
  <w:style w:type="character" w:customStyle="1" w:styleId="26">
    <w:name w:val="font21"/>
    <w:basedOn w:val="20"/>
    <w:qFormat/>
    <w:uiPriority w:val="0"/>
    <w:rPr>
      <w:rFonts w:ascii="Calibri" w:hAnsi="Calibri" w:cs="Calibri"/>
      <w:color w:val="000000"/>
      <w:sz w:val="18"/>
      <w:szCs w:val="18"/>
      <w:u w:val="none"/>
    </w:rPr>
  </w:style>
  <w:style w:type="character" w:customStyle="1" w:styleId="27">
    <w:name w:val="font01"/>
    <w:basedOn w:val="20"/>
    <w:qFormat/>
    <w:uiPriority w:val="0"/>
    <w:rPr>
      <w:rFonts w:hint="eastAsia" w:ascii="宋体" w:hAnsi="宋体" w:eastAsia="宋体" w:cs="宋体"/>
      <w:color w:val="000000"/>
      <w:sz w:val="18"/>
      <w:szCs w:val="18"/>
      <w:u w:val="none"/>
    </w:rPr>
  </w:style>
  <w:style w:type="paragraph" w:styleId="28">
    <w:name w:val="List Paragraph"/>
    <w:basedOn w:val="1"/>
    <w:qFormat/>
    <w:uiPriority w:val="34"/>
    <w:pPr>
      <w:ind w:firstLine="420" w:firstLineChars="200"/>
    </w:pPr>
    <w:rPr>
      <w:rFonts w:ascii="Calibri" w:hAnsi="Calibri" w:eastAsia="宋体" w:cs="Times New Roman"/>
      <w:sz w:val="21"/>
      <w:szCs w:val="22"/>
    </w:rPr>
  </w:style>
  <w:style w:type="paragraph" w:customStyle="1" w:styleId="29">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30">
    <w:name w:val="_Style 1"/>
    <w:basedOn w:val="1"/>
    <w:qFormat/>
    <w:uiPriority w:val="34"/>
    <w:pPr>
      <w:ind w:firstLine="420" w:firstLineChars="200"/>
    </w:pPr>
  </w:style>
  <w:style w:type="paragraph" w:customStyle="1" w:styleId="31">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3">
    <w:name w:val="font11"/>
    <w:basedOn w:val="20"/>
    <w:qFormat/>
    <w:uiPriority w:val="0"/>
    <w:rPr>
      <w:rFonts w:hint="eastAsia" w:ascii="宋体" w:hAnsi="宋体" w:eastAsia="宋体" w:cs="宋体"/>
      <w:color w:val="000000"/>
      <w:sz w:val="21"/>
      <w:szCs w:val="21"/>
      <w:u w:val="none"/>
    </w:rPr>
  </w:style>
  <w:style w:type="character" w:customStyle="1" w:styleId="34">
    <w:name w:val="标题 2 Char"/>
    <w:link w:val="4"/>
    <w:qFormat/>
    <w:uiPriority w:val="9"/>
    <w:rPr>
      <w:rFonts w:ascii="Cambria" w:hAnsi="Cambria" w:eastAsia="宋体"/>
      <w:b/>
      <w:bCs/>
      <w:kern w:val="0"/>
      <w:sz w:val="28"/>
      <w:szCs w:val="32"/>
    </w:rPr>
  </w:style>
  <w:style w:type="character" w:customStyle="1" w:styleId="35">
    <w:name w:val="font61"/>
    <w:basedOn w:val="20"/>
    <w:qFormat/>
    <w:uiPriority w:val="0"/>
    <w:rPr>
      <w:rFonts w:hint="default" w:ascii="Times New Roman" w:hAnsi="Times New Roman" w:cs="Times New Roman"/>
      <w:color w:val="000000"/>
      <w:sz w:val="24"/>
      <w:szCs w:val="24"/>
      <w:u w:val="none"/>
    </w:rPr>
  </w:style>
  <w:style w:type="character" w:customStyle="1" w:styleId="36">
    <w:name w:val="font51"/>
    <w:basedOn w:val="20"/>
    <w:qFormat/>
    <w:uiPriority w:val="0"/>
    <w:rPr>
      <w:rFonts w:hint="eastAsia" w:ascii="仿宋" w:hAnsi="仿宋" w:eastAsia="仿宋" w:cs="仿宋"/>
      <w:color w:val="000000"/>
      <w:sz w:val="24"/>
      <w:szCs w:val="24"/>
      <w:u w:val="none"/>
    </w:rPr>
  </w:style>
  <w:style w:type="character" w:customStyle="1" w:styleId="37">
    <w:name w:val="font101"/>
    <w:basedOn w:val="20"/>
    <w:qFormat/>
    <w:uiPriority w:val="0"/>
    <w:rPr>
      <w:rFonts w:hint="eastAsia" w:ascii="仿宋" w:hAnsi="仿宋" w:eastAsia="仿宋" w:cs="仿宋"/>
      <w:color w:val="FF0000"/>
      <w:sz w:val="24"/>
      <w:szCs w:val="24"/>
      <w:u w:val="none"/>
    </w:rPr>
  </w:style>
  <w:style w:type="character" w:customStyle="1" w:styleId="38">
    <w:name w:val="font111"/>
    <w:basedOn w:val="20"/>
    <w:qFormat/>
    <w:uiPriority w:val="0"/>
    <w:rPr>
      <w:rFonts w:hint="eastAsia" w:ascii="仿宋" w:hAnsi="仿宋" w:eastAsia="仿宋" w:cs="仿宋"/>
      <w:color w:val="000000"/>
      <w:sz w:val="22"/>
      <w:szCs w:val="22"/>
      <w:u w:val="none"/>
    </w:rPr>
  </w:style>
  <w:style w:type="character" w:customStyle="1" w:styleId="39">
    <w:name w:val="font91"/>
    <w:basedOn w:val="20"/>
    <w:qFormat/>
    <w:uiPriority w:val="0"/>
    <w:rPr>
      <w:rFonts w:hint="default" w:ascii="Times New Roman" w:hAnsi="Times New Roman" w:cs="Times New Roman"/>
      <w:color w:val="000000"/>
      <w:sz w:val="22"/>
      <w:szCs w:val="22"/>
      <w:u w:val="none"/>
    </w:rPr>
  </w:style>
  <w:style w:type="character" w:customStyle="1" w:styleId="40">
    <w:name w:val="font71"/>
    <w:basedOn w:val="20"/>
    <w:qFormat/>
    <w:uiPriority w:val="0"/>
    <w:rPr>
      <w:rFonts w:hint="eastAsia" w:ascii="仿宋" w:hAnsi="仿宋" w:eastAsia="仿宋" w:cs="仿宋"/>
      <w:b/>
      <w:bCs/>
      <w:color w:val="000000"/>
      <w:sz w:val="22"/>
      <w:szCs w:val="22"/>
      <w:u w:val="none"/>
    </w:rPr>
  </w:style>
  <w:style w:type="character" w:customStyle="1" w:styleId="41">
    <w:name w:val="font41"/>
    <w:basedOn w:val="20"/>
    <w:qFormat/>
    <w:uiPriority w:val="0"/>
    <w:rPr>
      <w:rFonts w:hint="default" w:ascii="Times New Roman" w:hAnsi="Times New Roman" w:cs="Times New Roman"/>
      <w:b/>
      <w:bCs/>
      <w:color w:val="000000"/>
      <w:sz w:val="22"/>
      <w:szCs w:val="22"/>
      <w:u w:val="none"/>
    </w:rPr>
  </w:style>
  <w:style w:type="character" w:customStyle="1" w:styleId="42">
    <w:name w:val="font81"/>
    <w:basedOn w:val="20"/>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15</Pages>
  <Words>81</Words>
  <Characters>95</Characters>
  <Lines>0</Lines>
  <Paragraphs>0</Paragraphs>
  <TotalTime>2</TotalTime>
  <ScaleCrop>false</ScaleCrop>
  <LinksUpToDate>false</LinksUpToDate>
  <CharactersWithSpaces>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 逢源</cp:lastModifiedBy>
  <cp:lastPrinted>2019-09-23T08:20:00Z</cp:lastPrinted>
  <dcterms:modified xsi:type="dcterms:W3CDTF">2024-11-22T00:49:12Z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AE8B36C568574A7AA7143E58CE5DA75A_13</vt:lpwstr>
  </property>
</Properties>
</file>