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9AE16">
      <w:pPr>
        <w:jc w:val="center"/>
        <w:rPr>
          <w:rFonts w:hint="eastAsia" w:ascii="黑体" w:hAnsi="黑体" w:eastAsia="黑体" w:cs="黑体"/>
          <w:sz w:val="32"/>
          <w:szCs w:val="32"/>
          <w:lang w:eastAsia="zh-CN"/>
        </w:rPr>
      </w:pPr>
    </w:p>
    <w:p w14:paraId="4F4E74E1">
      <w:pPr>
        <w:jc w:val="center"/>
        <w:rPr>
          <w:rFonts w:hint="eastAsia" w:ascii="黑体" w:hAnsi="黑体" w:eastAsia="黑体" w:cs="黑体"/>
          <w:sz w:val="32"/>
          <w:szCs w:val="32"/>
          <w:lang w:eastAsia="zh-CN"/>
        </w:rPr>
      </w:pPr>
    </w:p>
    <w:p w14:paraId="68100052">
      <w:pPr>
        <w:jc w:val="center"/>
        <w:rPr>
          <w:rFonts w:hint="eastAsia" w:ascii="黑体" w:hAnsi="黑体" w:eastAsia="黑体" w:cs="黑体"/>
          <w:sz w:val="32"/>
          <w:szCs w:val="32"/>
          <w:lang w:eastAsia="zh-CN"/>
        </w:rPr>
      </w:pPr>
    </w:p>
    <w:p w14:paraId="1C0F05A4">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14:paraId="061FACD8">
      <w:pPr>
        <w:pStyle w:val="8"/>
        <w:rPr>
          <w:rFonts w:hint="eastAsia" w:ascii="黑体" w:hAnsi="黑体" w:eastAsia="黑体" w:cs="黑体"/>
          <w:lang w:eastAsia="zh-CN"/>
        </w:rPr>
      </w:pPr>
    </w:p>
    <w:p w14:paraId="49E39966">
      <w:pPr>
        <w:jc w:val="center"/>
        <w:rPr>
          <w:rFonts w:hint="eastAsia" w:ascii="黑体" w:hAnsi="黑体" w:eastAsia="黑体" w:cs="黑体"/>
          <w:sz w:val="32"/>
          <w:szCs w:val="32"/>
          <w:lang w:eastAsia="zh-CN"/>
        </w:rPr>
      </w:pPr>
      <w:r>
        <w:rPr>
          <w:rFonts w:hint="eastAsia" w:ascii="黑体" w:hAnsi="黑体" w:eastAsia="黑体" w:cs="黑体"/>
          <w:color w:val="auto"/>
          <w:sz w:val="52"/>
          <w:szCs w:val="52"/>
          <w:lang w:val="en-US" w:eastAsia="zh-CN"/>
        </w:rPr>
        <w:t>院内采购</w:t>
      </w:r>
      <w:r>
        <w:rPr>
          <w:rFonts w:hint="eastAsia" w:ascii="黑体" w:hAnsi="黑体" w:eastAsia="黑体" w:cs="黑体"/>
          <w:sz w:val="52"/>
          <w:szCs w:val="52"/>
          <w:lang w:eastAsia="zh-CN"/>
        </w:rPr>
        <w:t>文件</w:t>
      </w:r>
    </w:p>
    <w:p w14:paraId="60CB5BA6">
      <w:pPr>
        <w:jc w:val="center"/>
        <w:rPr>
          <w:rFonts w:hint="eastAsia" w:ascii="黑体" w:hAnsi="黑体" w:eastAsia="黑体" w:cs="黑体"/>
          <w:sz w:val="32"/>
          <w:szCs w:val="32"/>
          <w:lang w:eastAsia="zh-CN"/>
        </w:rPr>
      </w:pPr>
    </w:p>
    <w:p w14:paraId="409187AE">
      <w:pPr>
        <w:jc w:val="center"/>
        <w:rPr>
          <w:rFonts w:hint="eastAsia" w:ascii="黑体" w:hAnsi="黑体" w:eastAsia="黑体" w:cs="黑体"/>
          <w:sz w:val="32"/>
          <w:szCs w:val="32"/>
          <w:lang w:eastAsia="zh-CN"/>
        </w:rPr>
      </w:pPr>
    </w:p>
    <w:p w14:paraId="244594AC">
      <w:pPr>
        <w:pStyle w:val="9"/>
        <w:rPr>
          <w:rFonts w:hint="eastAsia" w:ascii="黑体" w:hAnsi="黑体" w:eastAsia="黑体" w:cs="黑体"/>
          <w:sz w:val="32"/>
          <w:szCs w:val="32"/>
          <w:lang w:eastAsia="zh-CN"/>
        </w:rPr>
      </w:pPr>
    </w:p>
    <w:p w14:paraId="6BEEDBEB">
      <w:pPr>
        <w:pStyle w:val="9"/>
        <w:rPr>
          <w:rFonts w:hint="eastAsia" w:ascii="黑体" w:hAnsi="黑体" w:eastAsia="黑体" w:cs="黑体"/>
          <w:sz w:val="32"/>
          <w:szCs w:val="32"/>
          <w:lang w:eastAsia="zh-CN"/>
        </w:rPr>
      </w:pPr>
    </w:p>
    <w:p w14:paraId="38CA2FA5">
      <w:pPr>
        <w:pStyle w:val="9"/>
        <w:rPr>
          <w:rFonts w:hint="eastAsia" w:ascii="黑体" w:hAnsi="黑体" w:eastAsia="黑体" w:cs="黑体"/>
          <w:sz w:val="32"/>
          <w:szCs w:val="32"/>
          <w:lang w:eastAsia="zh-CN"/>
        </w:rPr>
      </w:pPr>
    </w:p>
    <w:p w14:paraId="5721DD22">
      <w:pPr>
        <w:pStyle w:val="9"/>
        <w:rPr>
          <w:rFonts w:hint="eastAsia" w:ascii="黑体" w:hAnsi="黑体" w:eastAsia="黑体" w:cs="黑体"/>
          <w:sz w:val="32"/>
          <w:szCs w:val="32"/>
          <w:lang w:eastAsia="zh-CN"/>
        </w:rPr>
      </w:pPr>
    </w:p>
    <w:p w14:paraId="4795FBF7">
      <w:pPr>
        <w:pStyle w:val="9"/>
        <w:rPr>
          <w:rFonts w:hint="eastAsia" w:ascii="黑体" w:hAnsi="黑体" w:eastAsia="黑体" w:cs="黑体"/>
          <w:sz w:val="40"/>
          <w:szCs w:val="40"/>
          <w:lang w:eastAsia="zh-CN"/>
        </w:rPr>
      </w:pPr>
    </w:p>
    <w:p w14:paraId="676809A8">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项目名称：</w:t>
      </w:r>
      <w:r>
        <w:rPr>
          <w:rFonts w:hint="eastAsia" w:ascii="黑体" w:hAnsi="黑体" w:eastAsia="黑体" w:cs="黑体"/>
          <w:sz w:val="40"/>
          <w:szCs w:val="40"/>
          <w:lang w:val="en-US" w:eastAsia="zh-CN"/>
        </w:rPr>
        <w:t>直购电</w:t>
      </w:r>
    </w:p>
    <w:p w14:paraId="20A4E747">
      <w:pPr>
        <w:pStyle w:val="8"/>
        <w:rPr>
          <w:rFonts w:hint="eastAsia" w:ascii="黑体" w:hAnsi="黑体" w:eastAsia="黑体" w:cs="黑体"/>
          <w:lang w:val="en-US" w:eastAsia="zh-CN"/>
        </w:rPr>
      </w:pPr>
    </w:p>
    <w:p w14:paraId="11656FC3">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YNCG2024016</w:t>
      </w:r>
    </w:p>
    <w:p w14:paraId="24821021">
      <w:pPr>
        <w:jc w:val="center"/>
        <w:rPr>
          <w:rFonts w:hint="eastAsia" w:ascii="黑体" w:hAnsi="黑体" w:eastAsia="黑体" w:cs="黑体"/>
          <w:sz w:val="40"/>
          <w:szCs w:val="40"/>
          <w:lang w:eastAsia="zh-CN"/>
        </w:rPr>
      </w:pPr>
    </w:p>
    <w:p w14:paraId="0BA0A9D7">
      <w:pPr>
        <w:jc w:val="center"/>
        <w:rPr>
          <w:rFonts w:hint="eastAsia" w:ascii="黑体" w:hAnsi="黑体" w:eastAsia="黑体" w:cs="黑体"/>
          <w:sz w:val="40"/>
          <w:szCs w:val="40"/>
          <w:lang w:eastAsia="zh-CN"/>
        </w:rPr>
      </w:pPr>
    </w:p>
    <w:p w14:paraId="501C586D">
      <w:pPr>
        <w:jc w:val="center"/>
        <w:rPr>
          <w:rFonts w:hint="eastAsia" w:ascii="黑体" w:hAnsi="黑体" w:eastAsia="黑体" w:cs="黑体"/>
          <w:sz w:val="40"/>
          <w:szCs w:val="40"/>
          <w:lang w:eastAsia="zh-CN"/>
        </w:rPr>
      </w:pPr>
    </w:p>
    <w:p w14:paraId="3B8BDB61">
      <w:pPr>
        <w:jc w:val="center"/>
        <w:rPr>
          <w:rFonts w:hint="eastAsia" w:ascii="黑体" w:hAnsi="黑体" w:eastAsia="黑体" w:cs="黑体"/>
          <w:sz w:val="40"/>
          <w:szCs w:val="40"/>
          <w:lang w:eastAsia="zh-CN"/>
        </w:rPr>
      </w:pPr>
    </w:p>
    <w:p w14:paraId="21B1E634">
      <w:pPr>
        <w:jc w:val="center"/>
        <w:rPr>
          <w:rFonts w:hint="eastAsia" w:ascii="黑体" w:hAnsi="黑体" w:eastAsia="黑体" w:cs="黑体"/>
          <w:sz w:val="40"/>
          <w:szCs w:val="40"/>
          <w:lang w:eastAsia="zh-CN"/>
        </w:rPr>
      </w:pPr>
    </w:p>
    <w:p w14:paraId="0CBB2A84">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14:paraId="0550C475">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2024年12月</w:t>
      </w:r>
      <w:r>
        <w:rPr>
          <w:rFonts w:hint="eastAsia" w:ascii="黑体" w:hAnsi="黑体" w:eastAsia="黑体" w:cs="黑体"/>
          <w:sz w:val="40"/>
          <w:szCs w:val="40"/>
          <w:lang w:eastAsia="zh-CN"/>
        </w:rPr>
        <w:br w:type="page"/>
      </w:r>
    </w:p>
    <w:p w14:paraId="572C856B">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14:paraId="299CAB1B">
      <w:pPr>
        <w:jc w:val="center"/>
        <w:rPr>
          <w:rFonts w:hint="eastAsia" w:ascii="黑体" w:hAnsi="黑体" w:eastAsia="黑体" w:cs="黑体"/>
          <w:sz w:val="36"/>
          <w:szCs w:val="36"/>
          <w:lang w:eastAsia="zh-CN"/>
        </w:rPr>
      </w:pPr>
      <w:r>
        <w:rPr>
          <w:rFonts w:hint="eastAsia" w:ascii="黑体" w:hAnsi="黑体" w:eastAsia="黑体" w:cs="黑体"/>
          <w:sz w:val="36"/>
          <w:szCs w:val="36"/>
          <w:lang w:val="en-US" w:eastAsia="zh-CN"/>
        </w:rPr>
        <w:t>直购电</w:t>
      </w:r>
      <w:r>
        <w:rPr>
          <w:rFonts w:hint="eastAsia" w:ascii="黑体" w:hAnsi="黑体" w:eastAsia="黑体" w:cs="黑体"/>
          <w:sz w:val="36"/>
          <w:szCs w:val="36"/>
          <w:lang w:eastAsia="zh-CN"/>
        </w:rPr>
        <w:t>院内采购公告</w:t>
      </w:r>
    </w:p>
    <w:p w14:paraId="3984B253">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14:paraId="45E00A25">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eastAsia="zh-CN"/>
        </w:rPr>
        <w:t>项目采购编号：</w:t>
      </w:r>
      <w:r>
        <w:rPr>
          <w:rFonts w:hint="eastAsia" w:ascii="仿宋" w:hAnsi="仿宋" w:eastAsia="仿宋" w:cs="仿宋"/>
          <w:color w:val="auto"/>
          <w:kern w:val="0"/>
          <w:sz w:val="32"/>
          <w:szCs w:val="32"/>
          <w:lang w:val="en-US" w:eastAsia="zh-CN"/>
        </w:rPr>
        <w:t>YNCG2024016，项目包数量：1个。</w:t>
      </w:r>
    </w:p>
    <w:p w14:paraId="6A9FE555">
      <w:pPr>
        <w:pStyle w:val="17"/>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二、项目背景：采购人提供履约期内优惠电价，生产经营所需全部用电的购售电代理交易。</w:t>
      </w:r>
    </w:p>
    <w:p w14:paraId="14F385C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三、采购项目内容（详细要求请看附件）：直购电。</w:t>
      </w:r>
    </w:p>
    <w:p w14:paraId="1FF497C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四、参加采购的供应商数量：三家及以上；在乐山市五通桥区人民医院官方网站上发布公告（https://www.wtqqrmyy.cn/）；本项目若有补遗或更正公告会在官网上发布，请参加采购的供应商随时关注；若因以上原因造成的损失由供应商自行负责</w:t>
      </w:r>
    </w:p>
    <w:p w14:paraId="45B6A3E7">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五、供应商参加本次采购活动提交资料中，</w:t>
      </w:r>
      <w:r>
        <w:rPr>
          <w:rFonts w:hint="eastAsia" w:ascii="仿宋" w:hAnsi="仿宋" w:eastAsia="仿宋" w:cs="仿宋"/>
          <w:color w:val="auto"/>
          <w:kern w:val="0"/>
          <w:sz w:val="32"/>
          <w:szCs w:val="32"/>
          <w:lang w:val="en-US" w:eastAsia="zh-CN"/>
        </w:rPr>
        <w:t>须满足</w:t>
      </w:r>
      <w:r>
        <w:rPr>
          <w:rFonts w:hint="eastAsia" w:ascii="仿宋" w:hAnsi="仿宋" w:eastAsia="仿宋" w:cs="仿宋"/>
          <w:color w:val="auto"/>
          <w:kern w:val="0"/>
          <w:sz w:val="32"/>
          <w:szCs w:val="32"/>
          <w:lang w:eastAsia="zh-CN"/>
        </w:rPr>
        <w:t>以下要求：</w:t>
      </w:r>
    </w:p>
    <w:p w14:paraId="7A85735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1.具有独立承担民事责任的能力；依法缴纳税收和社会保障资金的良好记录。</w:t>
      </w:r>
    </w:p>
    <w:p w14:paraId="05882924">
      <w:pPr>
        <w:pStyle w:val="6"/>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2.具有良好的商业制度和健全的财务制度；履行合同所必须的设备和专业技术能力。</w:t>
      </w:r>
    </w:p>
    <w:p w14:paraId="72AA6583">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 xml:space="preserve">    3.参加本次采购活动前三年内，在经营活动中没有重大违法记录。</w:t>
      </w:r>
    </w:p>
    <w:p w14:paraId="2111D63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公司的营业执照（</w:t>
      </w:r>
      <w:r>
        <w:rPr>
          <w:rFonts w:hint="eastAsia" w:ascii="仿宋" w:hAnsi="仿宋" w:eastAsia="仿宋" w:cs="仿宋"/>
          <w:color w:val="auto"/>
          <w:kern w:val="0"/>
          <w:sz w:val="32"/>
          <w:szCs w:val="32"/>
          <w:lang w:eastAsia="zh-CN"/>
        </w:rPr>
        <w:t>三证合一</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复印件</w:t>
      </w:r>
      <w:r>
        <w:rPr>
          <w:rFonts w:hint="eastAsia" w:ascii="仿宋" w:hAnsi="仿宋" w:eastAsia="仿宋" w:cs="仿宋"/>
          <w:color w:val="auto"/>
          <w:kern w:val="0"/>
          <w:sz w:val="32"/>
          <w:szCs w:val="32"/>
        </w:rPr>
        <w:t>加盖鲜章</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法定代表人授权委托书（法定代表人参与的须提供法定代表人证明书）</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法定代表人和授权代表的身份证</w:t>
      </w:r>
      <w:r>
        <w:rPr>
          <w:rFonts w:hint="eastAsia" w:ascii="仿宋" w:hAnsi="仿宋" w:eastAsia="仿宋" w:cs="仿宋"/>
          <w:color w:val="auto"/>
          <w:kern w:val="0"/>
          <w:sz w:val="32"/>
          <w:szCs w:val="32"/>
          <w:lang w:eastAsia="zh-CN"/>
        </w:rPr>
        <w:t>。</w:t>
      </w:r>
    </w:p>
    <w:p w14:paraId="09376AB0">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5.报价以及资料，采购响应文件封面请注明项目名称、联系人、联系电话、自行密封并加盖公章。</w:t>
      </w:r>
    </w:p>
    <w:p w14:paraId="6B9DCDD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以上资料至少2套，请满足上述资质要求的供应商于2024年12月 12日17:00之前将资料送至乐山市五通桥区人民医院采购办（行政楼三楼楼梯处），在截至时间以后送到的响应文件将被拒绝并退还给供应商。</w:t>
      </w:r>
    </w:p>
    <w:p w14:paraId="44D777E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六、其他要求（参加采购的供应商视为全部接受以下条款）</w:t>
      </w:r>
    </w:p>
    <w:p w14:paraId="1E8072E0">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1.方案报价在60日内有效，报价包括文件编制、差旅、人工等费用。</w:t>
      </w:r>
    </w:p>
    <w:p w14:paraId="7BCB01C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2.在供应商满足相关资质要求及服务要求的条件下，采购采用最低价评标法，中标结果由医院网站公示，中标公司请在公示后30日内到采购办签订合同，超过公示后30日不响应签订合同的视为放弃中标资格。</w:t>
      </w:r>
    </w:p>
    <w:p w14:paraId="59178C79">
      <w:pPr>
        <w:pStyle w:val="17"/>
        <w:spacing w:line="240" w:lineRule="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 xml:space="preserve">  3.本项目不接受联合体，不允许分包。</w:t>
      </w:r>
    </w:p>
    <w:p w14:paraId="57907FED">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rPr>
      </w:pPr>
    </w:p>
    <w:p w14:paraId="29C44C45">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0"/>
          <w:sz w:val="32"/>
          <w:szCs w:val="32"/>
          <w:lang w:val="en-US" w:eastAsia="zh-CN"/>
        </w:rPr>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pPr>
    </w:p>
    <w:p w14:paraId="4A99472F">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联系人</w:t>
      </w:r>
      <w:r>
        <w:rPr>
          <w:rFonts w:hint="eastAsia" w:ascii="仿宋" w:hAnsi="仿宋" w:eastAsia="仿宋" w:cs="仿宋"/>
          <w:color w:val="auto"/>
          <w:kern w:val="0"/>
          <w:sz w:val="32"/>
          <w:szCs w:val="32"/>
          <w:lang w:eastAsia="zh-CN"/>
        </w:rPr>
        <w:t>：徐老师（</w:t>
      </w:r>
      <w:r>
        <w:rPr>
          <w:rFonts w:hint="eastAsia" w:ascii="仿宋" w:hAnsi="仿宋" w:eastAsia="仿宋" w:cs="仿宋"/>
          <w:color w:val="auto"/>
          <w:kern w:val="0"/>
          <w:sz w:val="32"/>
          <w:szCs w:val="32"/>
          <w:lang w:val="en-US" w:eastAsia="zh-CN"/>
        </w:rPr>
        <w:t>采购办</w:t>
      </w:r>
      <w:r>
        <w:rPr>
          <w:rFonts w:hint="eastAsia" w:ascii="仿宋" w:hAnsi="仿宋" w:eastAsia="仿宋" w:cs="仿宋"/>
          <w:color w:val="auto"/>
          <w:kern w:val="0"/>
          <w:sz w:val="32"/>
          <w:szCs w:val="32"/>
          <w:lang w:eastAsia="zh-CN"/>
        </w:rPr>
        <w:t>）</w:t>
      </w:r>
    </w:p>
    <w:p w14:paraId="6242BB4B">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联系人：何老师（总务科）</w:t>
      </w:r>
    </w:p>
    <w:p w14:paraId="626477B4">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联系电话：0833-3211269</w:t>
      </w:r>
    </w:p>
    <w:p w14:paraId="642D0352">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联系电话</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0833-3351690</w:t>
      </w:r>
    </w:p>
    <w:p w14:paraId="3E8AC863">
      <w:pPr>
        <w:rPr>
          <w:rFonts w:hint="eastAsia" w:ascii="黑体" w:hAnsi="黑体" w:eastAsia="黑体" w:cs="黑体"/>
          <w:b/>
          <w:bCs/>
          <w:color w:val="auto"/>
          <w:sz w:val="72"/>
          <w:szCs w:val="72"/>
          <w:lang w:val="en-US" w:eastAsia="zh-CN"/>
        </w:rPr>
        <w:sectPr>
          <w:type w:val="continuous"/>
          <w:pgSz w:w="11906" w:h="16838"/>
          <w:pgMar w:top="1134" w:right="850" w:bottom="907" w:left="1134" w:header="850" w:footer="992" w:gutter="0"/>
          <w:pgBorders>
            <w:top w:val="none" w:sz="0" w:space="0"/>
            <w:left w:val="none" w:sz="0" w:space="0"/>
            <w:bottom w:val="none" w:sz="0" w:space="0"/>
            <w:right w:val="none" w:sz="0" w:space="0"/>
          </w:pgBorders>
          <w:pgNumType w:fmt="decimal"/>
          <w:cols w:equalWidth="0" w:num="2">
            <w:col w:w="4748" w:space="425"/>
            <w:col w:w="4748"/>
          </w:cols>
          <w:titlePg/>
          <w:rtlGutter w:val="0"/>
          <w:docGrid w:linePitch="360" w:charSpace="0"/>
        </w:sectPr>
      </w:pPr>
    </w:p>
    <w:p w14:paraId="143CD395">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14:paraId="31B6412F">
      <w:pPr>
        <w:spacing w:line="300" w:lineRule="exact"/>
        <w:jc w:val="center"/>
        <w:rPr>
          <w:rFonts w:hint="eastAsia" w:ascii="仿宋" w:hAnsi="仿宋" w:eastAsia="仿宋" w:cs="仿宋"/>
          <w:b/>
          <w:sz w:val="32"/>
          <w:szCs w:val="32"/>
          <w:lang w:eastAsia="zh-CN"/>
        </w:rPr>
      </w:pPr>
    </w:p>
    <w:p w14:paraId="203EA19D">
      <w:pPr>
        <w:pStyle w:val="6"/>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14:paraId="31104729">
      <w:pPr>
        <w:pStyle w:val="32"/>
        <w:spacing w:line="240" w:lineRule="auto"/>
        <w:rPr>
          <w:rFonts w:hint="eastAsia"/>
          <w:lang w:eastAsia="zh-CN"/>
        </w:rPr>
      </w:pPr>
    </w:p>
    <w:p w14:paraId="1F7AFFE4">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14:paraId="28409CFA">
      <w:p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w:t>
      </w:r>
      <w:r>
        <w:rPr>
          <w:rFonts w:hint="eastAsia" w:ascii="仿宋" w:hAnsi="仿宋" w:eastAsia="仿宋" w:cs="仿宋"/>
          <w:color w:val="auto"/>
          <w:sz w:val="32"/>
          <w:szCs w:val="32"/>
        </w:rPr>
        <w:t>过</w:t>
      </w:r>
      <w:r>
        <w:rPr>
          <w:rFonts w:hint="eastAsia" w:ascii="仿宋" w:hAnsi="仿宋" w:eastAsia="仿宋" w:cs="仿宋"/>
          <w:color w:val="auto"/>
          <w:sz w:val="32"/>
          <w:szCs w:val="32"/>
          <w:lang w:val="en-US" w:eastAsia="zh-CN"/>
        </w:rPr>
        <w:t>最低价评标法的</w:t>
      </w:r>
      <w:r>
        <w:rPr>
          <w:rFonts w:hint="eastAsia" w:ascii="仿宋" w:hAnsi="仿宋" w:eastAsia="仿宋" w:cs="仿宋"/>
          <w:color w:val="auto"/>
          <w:sz w:val="32"/>
          <w:szCs w:val="32"/>
        </w:rPr>
        <w:t>方式确定成交供应商。</w:t>
      </w:r>
    </w:p>
    <w:p w14:paraId="5FDEDD0D">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14:paraId="416D1C5B">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14:paraId="288604D6">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14:paraId="4301D7A6">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14:paraId="6C70A9B1">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w:t>
      </w:r>
      <w:r>
        <w:rPr>
          <w:rFonts w:hint="eastAsia" w:ascii="仿宋" w:hAnsi="仿宋" w:eastAsia="仿宋" w:cs="仿宋"/>
          <w:sz w:val="32"/>
          <w:szCs w:val="32"/>
          <w:lang w:val="en-US" w:eastAsia="zh-CN"/>
        </w:rPr>
        <w:t>直购电采购</w:t>
      </w:r>
      <w:r>
        <w:rPr>
          <w:rFonts w:hint="eastAsia" w:ascii="仿宋" w:hAnsi="仿宋" w:eastAsia="仿宋" w:cs="仿宋"/>
          <w:sz w:val="32"/>
          <w:szCs w:val="32"/>
        </w:rPr>
        <w:t>”，“项目编号：</w:t>
      </w:r>
      <w:r>
        <w:rPr>
          <w:rFonts w:hint="eastAsia" w:ascii="仿宋" w:hAnsi="仿宋" w:eastAsia="仿宋" w:cs="仿宋"/>
          <w:sz w:val="32"/>
          <w:szCs w:val="32"/>
          <w:lang w:val="en-US" w:eastAsia="zh-CN"/>
        </w:rPr>
        <w:t>YNCG2024016</w:t>
      </w:r>
      <w:r>
        <w:rPr>
          <w:rFonts w:hint="eastAsia" w:ascii="仿宋" w:hAnsi="仿宋" w:eastAsia="仿宋" w:cs="仿宋"/>
          <w:sz w:val="32"/>
          <w:szCs w:val="32"/>
        </w:rPr>
        <w:t>”，“询价响应文件”，“于</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 w:hAnsi="仿宋" w:eastAsia="仿宋" w:cs="仿宋"/>
          <w:sz w:val="32"/>
          <w:szCs w:val="32"/>
          <w:lang w:val="en-US" w:eastAsia="zh-CN"/>
        </w:rPr>
        <w:t>00</w:t>
      </w:r>
      <w:r>
        <w:rPr>
          <w:rFonts w:hint="eastAsia" w:ascii="仿宋" w:hAnsi="仿宋" w:eastAsia="仿宋" w:cs="仿宋"/>
          <w:sz w:val="32"/>
          <w:szCs w:val="32"/>
        </w:rPr>
        <w:t>分前不得拆封”等字样。未按询价文件要求密封的响应文件将被拒收。</w:t>
      </w:r>
    </w:p>
    <w:p w14:paraId="56531A86">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14:paraId="3B50E4A8">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14:paraId="74765706">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14:paraId="294F54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14:paraId="43A752DF">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14:paraId="364023CC">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14:paraId="590DCF85">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14:paraId="1C5C841D">
      <w:pPr>
        <w:pStyle w:val="8"/>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14:paraId="5D75225D">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14:paraId="1CB11100">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14:paraId="45EA4EE6">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14:paraId="29ACA82A">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14:paraId="7BDC1D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14:paraId="05652C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14:paraId="412A31B1">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14:paraId="425CD27B">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14:paraId="75EF3C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14:paraId="79003D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14:paraId="52534F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14:paraId="199480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14:paraId="48DFD1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14:paraId="6FC34F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14:paraId="1E45F3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负偏离。</w:t>
      </w:r>
    </w:p>
    <w:p w14:paraId="12CAF5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auto"/>
          <w:sz w:val="32"/>
          <w:szCs w:val="32"/>
          <w:lang w:eastAsia="zh-CN"/>
        </w:rPr>
        <w:t>综合评分最高</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14:paraId="5458EE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auto"/>
          <w:sz w:val="32"/>
          <w:szCs w:val="32"/>
          <w:lang w:eastAsia="zh-CN"/>
        </w:rPr>
        <w:t>综合评分最高</w:t>
      </w:r>
      <w:r>
        <w:rPr>
          <w:rFonts w:hint="eastAsia" w:ascii="仿宋" w:hAnsi="仿宋" w:eastAsia="仿宋" w:cs="仿宋"/>
          <w:color w:val="000000"/>
          <w:sz w:val="32"/>
          <w:szCs w:val="32"/>
        </w:rPr>
        <w:t>原则确定成交供应商。</w:t>
      </w:r>
    </w:p>
    <w:p w14:paraId="202CB9F4">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1B4441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14:paraId="069D6E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14:paraId="3416F0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14:paraId="073A6D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14:paraId="52F366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14:paraId="274FA2D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14:paraId="57A295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14:paraId="12B7A4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14:paraId="4C987E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14:paraId="45C8C5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14:paraId="3BA245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14:paraId="62F41644">
      <w:pPr>
        <w:pStyle w:val="8"/>
        <w:ind w:left="0" w:leftChars="0" w:firstLine="0" w:firstLineChars="0"/>
        <w:rPr>
          <w:rFonts w:hint="eastAsia" w:ascii="黑体" w:hAnsi="黑体" w:eastAsia="黑体" w:cs="黑体"/>
          <w:lang w:eastAsia="zh-CN"/>
        </w:rPr>
      </w:pPr>
    </w:p>
    <w:p w14:paraId="72E16F9D">
      <w:pPr>
        <w:rPr>
          <w:rFonts w:hint="eastAsia" w:ascii="黑体" w:hAnsi="黑体" w:eastAsia="黑体" w:cs="黑体"/>
          <w:lang w:val="en-US" w:eastAsia="zh-CN"/>
        </w:rPr>
      </w:pPr>
    </w:p>
    <w:p w14:paraId="1F37713A">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14:paraId="605817DB">
      <w:pPr>
        <w:spacing w:line="360" w:lineRule="auto"/>
        <w:jc w:val="left"/>
        <w:rPr>
          <w:rFonts w:hint="eastAsia" w:ascii="黑体" w:hAnsi="黑体" w:eastAsia="黑体" w:cs="黑体"/>
          <w:b w:val="0"/>
          <w:bCs/>
          <w:sz w:val="30"/>
          <w:szCs w:val="30"/>
          <w:lang w:val="en-US" w:eastAsia="zh-CN"/>
        </w:rPr>
      </w:pPr>
      <w:bookmarkStart w:id="0" w:name="_Toc4003"/>
      <w:bookmarkStart w:id="1" w:name="_Toc439699516"/>
      <w:bookmarkStart w:id="2" w:name="_Toc12449"/>
      <w:bookmarkStart w:id="3" w:name="_Toc17549"/>
      <w:r>
        <w:rPr>
          <w:rFonts w:hint="eastAsia" w:ascii="黑体" w:hAnsi="黑体" w:eastAsia="黑体" w:cs="黑体"/>
          <w:b w:val="0"/>
          <w:bCs/>
          <w:sz w:val="30"/>
          <w:szCs w:val="30"/>
          <w:lang w:val="en-US" w:eastAsia="zh-CN"/>
        </w:rPr>
        <w:t>（采购封面）</w:t>
      </w:r>
    </w:p>
    <w:p w14:paraId="41772D0C">
      <w:pPr>
        <w:spacing w:line="360" w:lineRule="auto"/>
        <w:jc w:val="center"/>
        <w:rPr>
          <w:rFonts w:hint="eastAsia" w:ascii="黑体" w:hAnsi="黑体" w:eastAsia="黑体" w:cs="黑体"/>
          <w:b w:val="0"/>
          <w:bCs/>
          <w:sz w:val="84"/>
          <w:szCs w:val="84"/>
          <w:lang w:eastAsia="zh-CN"/>
        </w:rPr>
      </w:pPr>
      <w:r>
        <w:rPr>
          <w:rFonts w:hint="eastAsia" w:ascii="黑体" w:hAnsi="黑体" w:eastAsia="黑体" w:cs="黑体"/>
          <w:b w:val="0"/>
          <w:bCs/>
          <w:sz w:val="48"/>
          <w:szCs w:val="48"/>
          <w:lang w:val="en-US" w:eastAsia="zh-CN"/>
        </w:rPr>
        <w:t>乐山市五通桥区人民医院</w:t>
      </w:r>
    </w:p>
    <w:p w14:paraId="453E735C">
      <w:pPr>
        <w:rPr>
          <w:rFonts w:hint="eastAsia"/>
          <w:lang w:eastAsia="zh-CN"/>
        </w:rPr>
      </w:pPr>
    </w:p>
    <w:p w14:paraId="79B5D924">
      <w:pPr>
        <w:rPr>
          <w:rFonts w:hint="eastAsia"/>
          <w:lang w:eastAsia="zh-CN"/>
        </w:rPr>
      </w:pPr>
    </w:p>
    <w:p w14:paraId="7F9CB921">
      <w:pPr>
        <w:pStyle w:val="6"/>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院内采购</w:t>
      </w:r>
      <w:bookmarkStart w:id="12" w:name="_GoBack"/>
      <w:bookmarkEnd w:id="12"/>
      <w:r>
        <w:rPr>
          <w:rFonts w:hint="eastAsia" w:ascii="黑体" w:hAnsi="黑体" w:eastAsia="黑体" w:cs="黑体"/>
          <w:sz w:val="44"/>
          <w:szCs w:val="44"/>
          <w:lang w:val="en-US" w:eastAsia="zh-CN"/>
        </w:rPr>
        <w:t>响应文件</w:t>
      </w:r>
    </w:p>
    <w:p w14:paraId="1EEE091A">
      <w:pPr>
        <w:pStyle w:val="5"/>
        <w:rPr>
          <w:rFonts w:hint="eastAsia" w:ascii="黑体" w:hAnsi="黑体" w:eastAsia="黑体" w:cs="黑体"/>
          <w:sz w:val="84"/>
          <w:szCs w:val="84"/>
          <w:lang w:val="en-US" w:eastAsia="zh-CN"/>
        </w:rPr>
      </w:pPr>
    </w:p>
    <w:p w14:paraId="7DEF7B00">
      <w:pPr>
        <w:rPr>
          <w:rFonts w:hint="eastAsia"/>
          <w:lang w:val="en-US" w:eastAsia="zh-CN"/>
        </w:rPr>
      </w:pPr>
    </w:p>
    <w:p w14:paraId="379F5E08">
      <w:pPr>
        <w:pStyle w:val="6"/>
        <w:rPr>
          <w:rFonts w:hint="eastAsia" w:ascii="黑体" w:hAnsi="黑体" w:eastAsia="黑体" w:cs="黑体"/>
          <w:lang w:val="en-US" w:eastAsia="zh-CN"/>
        </w:rPr>
      </w:pPr>
    </w:p>
    <w:p w14:paraId="108E3219">
      <w:pPr>
        <w:spacing w:line="400" w:lineRule="exact"/>
        <w:rPr>
          <w:rFonts w:hint="eastAsia" w:ascii="黑体" w:hAnsi="黑体" w:eastAsia="黑体" w:cs="黑体"/>
          <w:sz w:val="84"/>
          <w:szCs w:val="84"/>
        </w:rPr>
      </w:pPr>
    </w:p>
    <w:p w14:paraId="66091B6A">
      <w:pPr>
        <w:spacing w:line="400" w:lineRule="exact"/>
        <w:rPr>
          <w:rFonts w:hint="eastAsia" w:ascii="黑体" w:hAnsi="黑体" w:eastAsia="黑体" w:cs="黑体"/>
          <w:b w:val="0"/>
          <w:bCs w:val="0"/>
          <w:sz w:val="30"/>
          <w:szCs w:val="30"/>
        </w:rPr>
      </w:pPr>
    </w:p>
    <w:p w14:paraId="79C8C445">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黑体" w:hAnsi="黑体" w:eastAsia="黑体" w:cs="黑体"/>
          <w:b w:val="0"/>
          <w:bCs w:val="0"/>
          <w:sz w:val="32"/>
          <w:szCs w:val="32"/>
          <w:u w:val="single"/>
        </w:rPr>
      </w:pPr>
      <w:r>
        <w:rPr>
          <w:rFonts w:hint="eastAsia" w:ascii="黑体" w:hAnsi="黑体" w:eastAsia="黑体" w:cs="黑体"/>
          <w:b w:val="0"/>
          <w:bCs w:val="0"/>
          <w:sz w:val="32"/>
          <w:szCs w:val="32"/>
        </w:rPr>
        <w:t>项目名称：</w:t>
      </w:r>
      <w:r>
        <w:rPr>
          <w:rFonts w:hint="eastAsia" w:ascii="黑体" w:hAnsi="黑体" w:eastAsia="黑体" w:cs="黑体"/>
          <w:b w:val="0"/>
          <w:bCs w:val="0"/>
          <w:sz w:val="32"/>
          <w:szCs w:val="32"/>
          <w:u w:val="single"/>
        </w:rPr>
        <w:t xml:space="preserve">                               </w:t>
      </w:r>
    </w:p>
    <w:p w14:paraId="79C49566">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黑体" w:hAnsi="黑体" w:eastAsia="黑体" w:cs="黑体"/>
          <w:b w:val="0"/>
          <w:bCs w:val="0"/>
          <w:sz w:val="32"/>
          <w:szCs w:val="32"/>
          <w:u w:val="single"/>
        </w:rPr>
      </w:pPr>
      <w:r>
        <w:rPr>
          <w:rFonts w:hint="eastAsia" w:ascii="黑体" w:hAnsi="黑体" w:eastAsia="黑体" w:cs="黑体"/>
          <w:b w:val="0"/>
          <w:bCs w:val="0"/>
          <w:sz w:val="32"/>
          <w:szCs w:val="32"/>
          <w:lang w:eastAsia="zh-CN"/>
        </w:rPr>
        <w:t>供应</w:t>
      </w:r>
      <w:r>
        <w:rPr>
          <w:rFonts w:hint="eastAsia" w:ascii="黑体" w:hAnsi="黑体" w:eastAsia="黑体" w:cs="黑体"/>
          <w:b w:val="0"/>
          <w:bCs w:val="0"/>
          <w:sz w:val="32"/>
          <w:szCs w:val="32"/>
        </w:rPr>
        <w:t>商名称</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rPr>
        <w:t>（盖章）</w:t>
      </w:r>
    </w:p>
    <w:p w14:paraId="3347107A">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法定代表人或授权代表：</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rPr>
        <w:t>（签字或加盖个人名章）</w:t>
      </w:r>
    </w:p>
    <w:p w14:paraId="30F426A3">
      <w:pPr>
        <w:pStyle w:val="5"/>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eastAsia="黑体"/>
          <w:b w:val="0"/>
          <w:bCs w:val="0"/>
          <w:u w:val="single"/>
          <w:lang w:val="en-US" w:eastAsia="zh-CN"/>
        </w:rPr>
      </w:pPr>
      <w:r>
        <w:rPr>
          <w:rFonts w:hint="eastAsia" w:ascii="黑体" w:hAnsi="黑体" w:eastAsia="黑体" w:cs="黑体"/>
          <w:b w:val="0"/>
          <w:bCs w:val="0"/>
          <w:sz w:val="32"/>
          <w:szCs w:val="32"/>
          <w:lang w:val="en-US" w:eastAsia="zh-CN"/>
        </w:rPr>
        <w:t>联系人及联系电话：</w:t>
      </w:r>
      <w:r>
        <w:rPr>
          <w:rFonts w:hint="eastAsia" w:ascii="黑体" w:hAnsi="黑体" w:eastAsia="黑体" w:cs="黑体"/>
          <w:b w:val="0"/>
          <w:bCs w:val="0"/>
          <w:sz w:val="32"/>
          <w:szCs w:val="32"/>
          <w:u w:val="single"/>
          <w:lang w:val="en-US" w:eastAsia="zh-CN"/>
        </w:rPr>
        <w:t xml:space="preserve">                       </w:t>
      </w:r>
    </w:p>
    <w:p w14:paraId="6EBB249B">
      <w:pPr>
        <w:widowControl w:val="0"/>
        <w:adjustRightInd/>
        <w:spacing w:line="360" w:lineRule="auto"/>
        <w:ind w:firstLine="315" w:firstLineChars="98"/>
        <w:rPr>
          <w:rFonts w:hint="eastAsia" w:ascii="黑体" w:hAnsi="黑体" w:eastAsia="黑体" w:cs="黑体"/>
          <w:b/>
          <w:bCs/>
          <w:sz w:val="32"/>
          <w:szCs w:val="32"/>
        </w:rPr>
      </w:pPr>
    </w:p>
    <w:p w14:paraId="7D763F35">
      <w:pPr>
        <w:pStyle w:val="5"/>
        <w:rPr>
          <w:rFonts w:hint="eastAsia" w:ascii="黑体" w:hAnsi="黑体" w:eastAsia="黑体" w:cs="黑体"/>
          <w:b/>
          <w:bCs/>
          <w:sz w:val="32"/>
          <w:szCs w:val="32"/>
        </w:rPr>
      </w:pPr>
    </w:p>
    <w:p w14:paraId="6E8668CA">
      <w:pPr>
        <w:rPr>
          <w:rFonts w:hint="eastAsia"/>
        </w:rPr>
      </w:pPr>
    </w:p>
    <w:p w14:paraId="2A8DEDC7">
      <w:pPr>
        <w:pStyle w:val="5"/>
        <w:rPr>
          <w:rFonts w:hint="eastAsia"/>
        </w:rPr>
      </w:pPr>
    </w:p>
    <w:p w14:paraId="0B437E91">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14:paraId="44BA1E23">
      <w:pPr>
        <w:rPr>
          <w:rFonts w:hint="eastAsia" w:ascii="黑体" w:hAnsi="黑体" w:eastAsia="黑体" w:cs="黑体"/>
          <w:sz w:val="32"/>
          <w:szCs w:val="32"/>
        </w:rPr>
      </w:pPr>
      <w:r>
        <w:rPr>
          <w:rFonts w:hint="eastAsia" w:ascii="黑体" w:hAnsi="黑体" w:eastAsia="黑体" w:cs="黑体"/>
          <w:sz w:val="32"/>
          <w:szCs w:val="32"/>
        </w:rPr>
        <w:br w:type="page"/>
      </w:r>
    </w:p>
    <w:p w14:paraId="1100BE78">
      <w:pPr>
        <w:widowControl w:val="0"/>
        <w:adjustRightInd/>
        <w:spacing w:line="360" w:lineRule="auto"/>
        <w:ind w:firstLine="3040" w:firstLineChars="950"/>
        <w:rPr>
          <w:rFonts w:hint="eastAsia" w:ascii="黑体" w:hAnsi="黑体" w:eastAsia="黑体" w:cs="黑体"/>
          <w:sz w:val="32"/>
          <w:szCs w:val="32"/>
        </w:rPr>
      </w:pPr>
    </w:p>
    <w:p w14:paraId="66B5B818">
      <w:pPr>
        <w:numPr>
          <w:ilvl w:val="0"/>
          <w:numId w:val="2"/>
        </w:numPr>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采购资质要求</w:t>
      </w:r>
    </w:p>
    <w:p w14:paraId="6CD1B6BC">
      <w:pPr>
        <w:pStyle w:val="6"/>
        <w:rPr>
          <w:rFonts w:hint="eastAsia" w:ascii="黑体" w:hAnsi="黑体" w:eastAsia="黑体" w:cs="黑体"/>
          <w:b/>
          <w:sz w:val="36"/>
          <w:szCs w:val="36"/>
          <w:lang w:val="en-US" w:eastAsia="zh-CN"/>
        </w:rPr>
      </w:pPr>
    </w:p>
    <w:p w14:paraId="010B69C1">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8"/>
        <w:tblpPr w:leftFromText="180" w:rightFromText="180" w:vertAnchor="text" w:horzAnchor="page" w:tblpX="1286"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421"/>
        <w:gridCol w:w="1035"/>
        <w:gridCol w:w="1698"/>
      </w:tblGrid>
      <w:tr w14:paraId="7E0A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14:paraId="497BABD7">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6" w:type="pct"/>
            <w:noWrap w:val="0"/>
            <w:vAlign w:val="center"/>
          </w:tcPr>
          <w:p w14:paraId="616C0512">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14:paraId="6E95479F">
            <w:pPr>
              <w:snapToGrid w:val="0"/>
              <w:spacing w:line="240" w:lineRule="auto"/>
              <w:contextualSpacing/>
              <w:jc w:val="left"/>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14:paraId="1F4FF82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14:paraId="22C8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1" w:type="pct"/>
            <w:noWrap w:val="0"/>
            <w:vAlign w:val="center"/>
          </w:tcPr>
          <w:p w14:paraId="2B1F5BFA">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6" w:type="pct"/>
            <w:noWrap w:val="0"/>
            <w:vAlign w:val="center"/>
          </w:tcPr>
          <w:p w14:paraId="41FC82C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三证（营业执照、税务登记证、组织机构代码证）副本；三证合一的只须提供营业执照副本；事业单位、社会团体提供法人登记证书复印件。</w:t>
            </w:r>
          </w:p>
        </w:tc>
        <w:tc>
          <w:tcPr>
            <w:tcW w:w="512" w:type="pct"/>
            <w:noWrap w:val="0"/>
            <w:vAlign w:val="center"/>
          </w:tcPr>
          <w:p w14:paraId="005B3C7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6881C29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5A2B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14:paraId="0BF89ED5">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6" w:type="pct"/>
            <w:noWrap w:val="0"/>
            <w:vAlign w:val="center"/>
          </w:tcPr>
          <w:p w14:paraId="70ADB655">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14:paraId="73493397">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169B556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14:paraId="1EB4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14:paraId="17C129F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6" w:type="pct"/>
            <w:noWrap w:val="0"/>
            <w:vAlign w:val="center"/>
          </w:tcPr>
          <w:p w14:paraId="6888E7D7">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2023年以来2个同类业绩。</w:t>
            </w:r>
          </w:p>
        </w:tc>
        <w:tc>
          <w:tcPr>
            <w:tcW w:w="512" w:type="pct"/>
            <w:noWrap w:val="0"/>
            <w:vAlign w:val="center"/>
          </w:tcPr>
          <w:p w14:paraId="658A6CD4">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3DAB9D55">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0D46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14:paraId="7E7CD284">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6" w:type="pct"/>
            <w:noWrap w:val="0"/>
            <w:vAlign w:val="center"/>
          </w:tcPr>
          <w:p w14:paraId="1AF1DE2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14:paraId="340AAEA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381A83D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14:paraId="6C41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14:paraId="59AFBDF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6" w:type="pct"/>
            <w:noWrap w:val="0"/>
            <w:vAlign w:val="center"/>
          </w:tcPr>
          <w:p w14:paraId="1FDC92BA">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供应商</w:t>
            </w:r>
            <w:r>
              <w:rPr>
                <w:rFonts w:hint="eastAsia" w:ascii="仿宋" w:hAnsi="仿宋" w:eastAsia="仿宋" w:cs="仿宋"/>
                <w:color w:val="000000"/>
                <w:spacing w:val="2"/>
                <w:sz w:val="32"/>
                <w:szCs w:val="32"/>
                <w:lang w:eastAsia="zh-CN"/>
              </w:rPr>
              <w:t>应具备要求准入条件，并在四川省电力交易平台注册并绑定数字证书。比选人应该提供直购电资质证明,四川省电力直接交易准入名单等材料。</w:t>
            </w:r>
          </w:p>
        </w:tc>
        <w:tc>
          <w:tcPr>
            <w:tcW w:w="512" w:type="pct"/>
            <w:noWrap w:val="0"/>
            <w:vAlign w:val="center"/>
          </w:tcPr>
          <w:p w14:paraId="439EE617">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14:paraId="3A911614">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复印件加盖鲜章</w:t>
            </w:r>
          </w:p>
        </w:tc>
      </w:tr>
      <w:tr w14:paraId="36B6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1" w:type="pct"/>
            <w:noWrap w:val="0"/>
            <w:vAlign w:val="center"/>
          </w:tcPr>
          <w:p w14:paraId="551D5D26">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6</w:t>
            </w:r>
          </w:p>
        </w:tc>
        <w:tc>
          <w:tcPr>
            <w:tcW w:w="3176" w:type="pct"/>
            <w:noWrap w:val="0"/>
            <w:vAlign w:val="center"/>
          </w:tcPr>
          <w:p w14:paraId="49DC0204">
            <w:pPr>
              <w:snapToGrid w:val="0"/>
              <w:spacing w:line="240" w:lineRule="auto"/>
              <w:contextualSpacing/>
              <w:rPr>
                <w:rFonts w:hint="eastAsia" w:ascii="仿宋" w:hAnsi="仿宋" w:eastAsia="仿宋" w:cs="仿宋"/>
                <w:color w:val="000000"/>
                <w:spacing w:val="2"/>
                <w:sz w:val="32"/>
                <w:szCs w:val="32"/>
                <w:lang w:val="en-US" w:eastAsia="zh-CN"/>
              </w:rPr>
            </w:pPr>
          </w:p>
        </w:tc>
        <w:tc>
          <w:tcPr>
            <w:tcW w:w="512" w:type="pct"/>
            <w:noWrap w:val="0"/>
            <w:vAlign w:val="center"/>
          </w:tcPr>
          <w:p w14:paraId="314AED8A">
            <w:pPr>
              <w:snapToGrid w:val="0"/>
              <w:spacing w:line="240" w:lineRule="auto"/>
              <w:contextualSpacing/>
              <w:rPr>
                <w:rFonts w:hint="eastAsia" w:ascii="仿宋" w:hAnsi="仿宋" w:eastAsia="仿宋" w:cs="仿宋"/>
                <w:color w:val="000000"/>
                <w:spacing w:val="2"/>
                <w:sz w:val="32"/>
                <w:szCs w:val="32"/>
                <w:lang w:eastAsia="zh-CN"/>
              </w:rPr>
            </w:pPr>
          </w:p>
        </w:tc>
        <w:tc>
          <w:tcPr>
            <w:tcW w:w="840" w:type="pct"/>
            <w:noWrap w:val="0"/>
            <w:vAlign w:val="center"/>
          </w:tcPr>
          <w:p w14:paraId="17F1D40F">
            <w:pPr>
              <w:snapToGrid w:val="0"/>
              <w:spacing w:line="240" w:lineRule="auto"/>
              <w:contextualSpacing/>
              <w:rPr>
                <w:rFonts w:hint="eastAsia" w:ascii="仿宋" w:hAnsi="仿宋" w:eastAsia="仿宋" w:cs="仿宋"/>
                <w:color w:val="000000"/>
                <w:spacing w:val="2"/>
                <w:sz w:val="32"/>
                <w:szCs w:val="32"/>
                <w:lang w:eastAsia="zh-CN"/>
              </w:rPr>
            </w:pPr>
          </w:p>
        </w:tc>
      </w:tr>
    </w:tbl>
    <w:p w14:paraId="70E3F4A2">
      <w:pPr>
        <w:pStyle w:val="6"/>
        <w:rPr>
          <w:rFonts w:hint="eastAsia" w:ascii="仿宋" w:hAnsi="仿宋" w:eastAsia="仿宋" w:cs="仿宋"/>
          <w:color w:val="auto"/>
          <w:sz w:val="30"/>
          <w:szCs w:val="30"/>
          <w:highlight w:val="none"/>
          <w:lang w:eastAsia="zh-CN"/>
        </w:rPr>
      </w:pPr>
    </w:p>
    <w:p w14:paraId="6D34CB11">
      <w:pPr>
        <w:pStyle w:val="7"/>
        <w:rPr>
          <w:rFonts w:hint="eastAsia" w:ascii="仿宋" w:hAnsi="仿宋" w:eastAsia="仿宋" w:cs="仿宋"/>
          <w:color w:val="auto"/>
          <w:sz w:val="30"/>
          <w:szCs w:val="30"/>
          <w:highlight w:val="none"/>
          <w:lang w:eastAsia="zh-CN"/>
        </w:rPr>
      </w:pPr>
    </w:p>
    <w:p w14:paraId="51C7AA2C">
      <w:pPr>
        <w:rPr>
          <w:rFonts w:hint="eastAsia" w:ascii="仿宋" w:hAnsi="仿宋" w:eastAsia="仿宋" w:cs="仿宋"/>
          <w:color w:val="auto"/>
          <w:sz w:val="30"/>
          <w:szCs w:val="30"/>
          <w:highlight w:val="none"/>
          <w:lang w:eastAsia="zh-CN"/>
        </w:rPr>
      </w:pPr>
    </w:p>
    <w:p w14:paraId="314614E9">
      <w:pPr>
        <w:pStyle w:val="6"/>
        <w:rPr>
          <w:rFonts w:hint="eastAsia"/>
          <w:lang w:eastAsia="zh-CN"/>
        </w:rPr>
      </w:pPr>
    </w:p>
    <w:p w14:paraId="305F675C">
      <w:pPr>
        <w:pStyle w:val="6"/>
        <w:rPr>
          <w:rFonts w:hint="eastAsia"/>
          <w:lang w:eastAsia="zh-CN"/>
        </w:rPr>
      </w:pPr>
    </w:p>
    <w:p w14:paraId="1AEDE1D2">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14:paraId="5AA1AB78">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14:paraId="6523605C">
      <w:pPr>
        <w:pStyle w:val="6"/>
        <w:rPr>
          <w:rFonts w:hint="eastAsia" w:ascii="黑体" w:hAnsi="黑体" w:eastAsia="黑体" w:cs="黑体"/>
          <w:sz w:val="28"/>
          <w:szCs w:val="28"/>
        </w:rPr>
      </w:pPr>
    </w:p>
    <w:p w14:paraId="7AB15255">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14:paraId="3E89B287">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14:paraId="6A46AF03">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14:paraId="4ADA7830">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14:paraId="7BE9BF69">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14:paraId="0DB36FA9">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14:paraId="48C7E13E">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14:paraId="1D3252E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14:paraId="4A938886">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14:paraId="02FC8693">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14:paraId="6F87E2BD">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14:paraId="14F39C73">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14:paraId="1DD7C1A9">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14:paraId="70D15AB0">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14:paraId="67BBC961">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14:paraId="6D7076C2">
      <w:pPr>
        <w:pStyle w:val="6"/>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3BAE3D1C">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14:paraId="2FFA5CBB">
      <w:pPr>
        <w:pStyle w:val="31"/>
        <w:rPr>
          <w:rFonts w:hint="eastAsia" w:ascii="仿宋" w:hAnsi="仿宋" w:eastAsia="仿宋" w:cs="仿宋"/>
          <w:sz w:val="32"/>
          <w:szCs w:val="32"/>
        </w:rPr>
      </w:pPr>
    </w:p>
    <w:p w14:paraId="7358436E">
      <w:pPr>
        <w:rPr>
          <w:rFonts w:hint="eastAsia"/>
        </w:rPr>
      </w:pPr>
    </w:p>
    <w:p w14:paraId="34831B1E">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14:paraId="0E2AC202">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14:paraId="5D6916C1">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14:paraId="6CA0CE53">
      <w:pPr>
        <w:pStyle w:val="6"/>
        <w:adjustRightInd w:val="0"/>
        <w:snapToGrid w:val="0"/>
        <w:spacing w:after="0" w:line="360" w:lineRule="auto"/>
        <w:ind w:firstLine="560" w:firstLineChars="200"/>
        <w:rPr>
          <w:rFonts w:hint="eastAsia" w:ascii="黑体" w:hAnsi="黑体" w:eastAsia="黑体" w:cs="黑体"/>
          <w:sz w:val="28"/>
          <w:szCs w:val="28"/>
          <w:lang w:eastAsia="zh-CN"/>
        </w:rPr>
      </w:pPr>
    </w:p>
    <w:p w14:paraId="205F1F5B">
      <w:pPr>
        <w:pStyle w:val="6"/>
        <w:adjustRightInd w:val="0"/>
        <w:snapToGrid w:val="0"/>
        <w:spacing w:after="0" w:line="360" w:lineRule="auto"/>
        <w:ind w:firstLine="560" w:firstLineChars="200"/>
        <w:rPr>
          <w:rFonts w:hint="eastAsia" w:ascii="黑体" w:hAnsi="黑体" w:eastAsia="黑体" w:cs="黑体"/>
          <w:sz w:val="28"/>
          <w:szCs w:val="28"/>
          <w:lang w:eastAsia="zh-CN"/>
        </w:rPr>
      </w:pPr>
    </w:p>
    <w:bookmarkEnd w:id="0"/>
    <w:bookmarkEnd w:id="1"/>
    <w:bookmarkEnd w:id="2"/>
    <w:bookmarkEnd w:id="3"/>
    <w:p w14:paraId="48C344FE">
      <w:pPr>
        <w:keepNext w:val="0"/>
        <w:keepLines w:val="0"/>
        <w:pageBreakBefore w:val="0"/>
        <w:widowControl w:val="0"/>
        <w:kinsoku/>
        <w:wordWrap/>
        <w:overflowPunct/>
        <w:topLinePunct w:val="0"/>
        <w:autoSpaceDE/>
        <w:bidi w:val="0"/>
        <w:adjustRightInd/>
        <w:snapToGrid/>
        <w:spacing w:line="520" w:lineRule="exact"/>
        <w:jc w:val="center"/>
        <w:textAlignment w:val="auto"/>
        <w:rPr>
          <w:rFonts w:hint="eastAsia" w:ascii="黑体" w:hAnsi="黑体" w:eastAsia="黑体" w:cs="黑体"/>
          <w:color w:val="auto"/>
          <w:sz w:val="40"/>
          <w:szCs w:val="40"/>
        </w:rPr>
      </w:pPr>
      <w:bookmarkStart w:id="4" w:name="_Toc199"/>
      <w:bookmarkStart w:id="5" w:name="_Toc1800"/>
      <w:bookmarkStart w:id="6" w:name="_Toc439699522"/>
      <w:bookmarkStart w:id="7" w:name="_Toc16184"/>
      <w:bookmarkStart w:id="8" w:name="_Toc1287"/>
      <w:bookmarkStart w:id="9" w:name="_Toc24199"/>
      <w:bookmarkStart w:id="10" w:name="_Toc12426"/>
      <w:r>
        <w:rPr>
          <w:rFonts w:hint="eastAsia" w:ascii="黑体" w:hAnsi="黑体" w:eastAsia="黑体" w:cs="黑体"/>
        </w:rPr>
        <w:br w:type="page"/>
      </w:r>
      <w:bookmarkEnd w:id="4"/>
      <w:bookmarkEnd w:id="5"/>
      <w:bookmarkEnd w:id="6"/>
      <w:bookmarkEnd w:id="7"/>
      <w:bookmarkEnd w:id="8"/>
      <w:bookmarkEnd w:id="9"/>
      <w:bookmarkEnd w:id="10"/>
      <w:r>
        <w:rPr>
          <w:rFonts w:hint="eastAsia" w:ascii="黑体" w:hAnsi="黑体" w:eastAsia="黑体" w:cs="黑体"/>
          <w:color w:val="auto"/>
          <w:sz w:val="40"/>
          <w:szCs w:val="40"/>
        </w:rPr>
        <w:t>购销廉洁、诚信承诺书</w:t>
      </w:r>
    </w:p>
    <w:p w14:paraId="6F2BF35D">
      <w:pPr>
        <w:pStyle w:val="29"/>
        <w:keepNext w:val="0"/>
        <w:keepLines w:val="0"/>
        <w:pageBreakBefore w:val="0"/>
        <w:widowControl w:val="0"/>
        <w:kinsoku/>
        <w:wordWrap/>
        <w:overflowPunct/>
        <w:topLinePunct w:val="0"/>
        <w:autoSpaceDE/>
        <w:bidi w:val="0"/>
        <w:adjustRightInd/>
        <w:snapToGrid/>
        <w:spacing w:line="520" w:lineRule="exact"/>
        <w:ind w:left="0" w:leftChars="0" w:firstLine="0" w:firstLineChars="0"/>
        <w:textAlignment w:val="auto"/>
        <w:rPr>
          <w:rFonts w:hint="eastAsia" w:ascii="仿宋" w:hAnsi="仿宋" w:eastAsia="仿宋" w:cs="仿宋"/>
          <w:color w:val="auto"/>
          <w:sz w:val="32"/>
          <w:szCs w:val="32"/>
        </w:rPr>
      </w:pPr>
      <w:bookmarkStart w:id="11"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14:paraId="0AFC2EC9">
      <w:pPr>
        <w:pStyle w:val="29"/>
        <w:keepNext w:val="0"/>
        <w:keepLines w:val="0"/>
        <w:pageBreakBefore w:val="0"/>
        <w:widowControl w:val="0"/>
        <w:kinsoku/>
        <w:wordWrap/>
        <w:overflowPunct/>
        <w:topLinePunct w:val="0"/>
        <w:autoSpaceDE/>
        <w:bidi w:val="0"/>
        <w:adjustRightInd/>
        <w:snapToGrid/>
        <w:spacing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14:paraId="0910396E">
      <w:pPr>
        <w:pStyle w:val="29"/>
        <w:keepNext w:val="0"/>
        <w:keepLines w:val="0"/>
        <w:pageBreakBefore w:val="0"/>
        <w:widowControl w:val="0"/>
        <w:kinsoku/>
        <w:wordWrap/>
        <w:overflowPunct/>
        <w:topLinePunct w:val="0"/>
        <w:autoSpaceDE/>
        <w:bidi w:val="0"/>
        <w:adjustRightInd/>
        <w:snapToGrid/>
        <w:spacing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14:paraId="1912F3D3">
      <w:pPr>
        <w:pStyle w:val="29"/>
        <w:keepNext w:val="0"/>
        <w:keepLines w:val="0"/>
        <w:pageBreakBefore w:val="0"/>
        <w:widowControl w:val="0"/>
        <w:kinsoku/>
        <w:wordWrap/>
        <w:overflowPunct/>
        <w:topLinePunct w:val="0"/>
        <w:autoSpaceDE/>
        <w:bidi w:val="0"/>
        <w:adjustRightInd/>
        <w:snapToGrid/>
        <w:spacing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14:paraId="4B6843C6">
      <w:pPr>
        <w:pStyle w:val="29"/>
        <w:keepNext w:val="0"/>
        <w:keepLines w:val="0"/>
        <w:pageBreakBefore w:val="0"/>
        <w:widowControl w:val="0"/>
        <w:kinsoku/>
        <w:wordWrap/>
        <w:overflowPunct/>
        <w:topLinePunct w:val="0"/>
        <w:autoSpaceDE/>
        <w:bidi w:val="0"/>
        <w:adjustRightInd/>
        <w:snapToGrid/>
        <w:spacing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14:paraId="086D7BD4">
      <w:pPr>
        <w:pStyle w:val="29"/>
        <w:keepNext w:val="0"/>
        <w:keepLines w:val="0"/>
        <w:pageBreakBefore w:val="0"/>
        <w:widowControl w:val="0"/>
        <w:kinsoku/>
        <w:wordWrap/>
        <w:overflowPunct/>
        <w:topLinePunct w:val="0"/>
        <w:autoSpaceDE/>
        <w:bidi w:val="0"/>
        <w:adjustRightInd/>
        <w:snapToGrid/>
        <w:spacing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14:paraId="3986DC0B">
      <w:pPr>
        <w:pStyle w:val="29"/>
        <w:keepNext w:val="0"/>
        <w:keepLines w:val="0"/>
        <w:pageBreakBefore w:val="0"/>
        <w:widowControl w:val="0"/>
        <w:kinsoku/>
        <w:wordWrap/>
        <w:overflowPunct/>
        <w:topLinePunct w:val="0"/>
        <w:autoSpaceDE/>
        <w:bidi w:val="0"/>
        <w:adjustRightInd/>
        <w:snapToGrid/>
        <w:spacing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14:paraId="7A39977F">
      <w:pPr>
        <w:pStyle w:val="29"/>
        <w:keepNext w:val="0"/>
        <w:keepLines w:val="0"/>
        <w:pageBreakBefore w:val="0"/>
        <w:widowControl w:val="0"/>
        <w:kinsoku/>
        <w:wordWrap/>
        <w:overflowPunct/>
        <w:topLinePunct w:val="0"/>
        <w:autoSpaceDE/>
        <w:bidi w:val="0"/>
        <w:adjustRightInd/>
        <w:snapToGrid/>
        <w:spacing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14:paraId="3FC84819">
      <w:pPr>
        <w:pStyle w:val="29"/>
        <w:keepNext w:val="0"/>
        <w:keepLines w:val="0"/>
        <w:pageBreakBefore w:val="0"/>
        <w:widowControl w:val="0"/>
        <w:kinsoku/>
        <w:wordWrap/>
        <w:overflowPunct/>
        <w:topLinePunct w:val="0"/>
        <w:autoSpaceDE/>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14:paraId="58325B5D">
      <w:pPr>
        <w:pStyle w:val="29"/>
        <w:keepNext w:val="0"/>
        <w:keepLines w:val="0"/>
        <w:pageBreakBefore w:val="0"/>
        <w:widowControl w:val="0"/>
        <w:kinsoku/>
        <w:wordWrap/>
        <w:overflowPunct/>
        <w:topLinePunct w:val="0"/>
        <w:autoSpaceDE/>
        <w:bidi w:val="0"/>
        <w:adjustRightInd/>
        <w:snapToGrid/>
        <w:spacing w:line="520" w:lineRule="exact"/>
        <w:ind w:firstLine="0"/>
        <w:textAlignment w:val="auto"/>
        <w:rPr>
          <w:rFonts w:hint="eastAsia" w:ascii="仿宋" w:hAnsi="仿宋" w:eastAsia="仿宋" w:cs="仿宋"/>
          <w:color w:val="auto"/>
          <w:sz w:val="32"/>
          <w:szCs w:val="32"/>
        </w:rPr>
      </w:pPr>
    </w:p>
    <w:p w14:paraId="12662793">
      <w:pPr>
        <w:pStyle w:val="29"/>
        <w:keepNext w:val="0"/>
        <w:keepLines w:val="0"/>
        <w:pageBreakBefore w:val="0"/>
        <w:widowControl w:val="0"/>
        <w:kinsoku/>
        <w:wordWrap/>
        <w:overflowPunct/>
        <w:topLinePunct w:val="0"/>
        <w:autoSpaceDE/>
        <w:bidi w:val="0"/>
        <w:adjustRightInd/>
        <w:snapToGrid/>
        <w:spacing w:line="520" w:lineRule="exact"/>
        <w:ind w:firstLine="0"/>
        <w:textAlignment w:val="auto"/>
        <w:rPr>
          <w:rFonts w:hint="eastAsia" w:ascii="仿宋" w:hAnsi="仿宋" w:eastAsia="仿宋" w:cs="仿宋"/>
          <w:color w:val="auto"/>
          <w:sz w:val="32"/>
          <w:szCs w:val="32"/>
        </w:rPr>
      </w:pPr>
    </w:p>
    <w:p w14:paraId="6688943D">
      <w:pPr>
        <w:keepNext w:val="0"/>
        <w:keepLines w:val="0"/>
        <w:pageBreakBefore w:val="0"/>
        <w:widowControl w:val="0"/>
        <w:kinsoku/>
        <w:wordWrap/>
        <w:overflowPunct/>
        <w:topLinePunct w:val="0"/>
        <w:autoSpaceDE/>
        <w:autoSpaceDN w:val="0"/>
        <w:bidi w:val="0"/>
        <w:adjustRightInd/>
        <w:snapToGrid/>
        <w:spacing w:line="520" w:lineRule="exact"/>
        <w:ind w:firstLine="6560" w:firstLineChars="205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4</w:t>
      </w:r>
      <w:r>
        <w:rPr>
          <w:rFonts w:hint="eastAsia" w:ascii="仿宋" w:hAnsi="仿宋" w:eastAsia="仿宋" w:cs="仿宋"/>
          <w:color w:val="auto"/>
          <w:kern w:val="2"/>
          <w:sz w:val="32"/>
          <w:szCs w:val="32"/>
        </w:rPr>
        <w:t>年  月  日</w:t>
      </w:r>
      <w:bookmarkEnd w:id="11"/>
    </w:p>
    <w:p w14:paraId="270FA7E1">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05D43694">
      <w:pPr>
        <w:spacing w:after="0" w:line="360" w:lineRule="auto"/>
        <w:rPr>
          <w:rFonts w:hint="eastAsia" w:ascii="黑体" w:hAnsi="黑体" w:eastAsia="黑体" w:cs="黑体"/>
        </w:rPr>
      </w:pPr>
    </w:p>
    <w:p w14:paraId="49C92DD5">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14:paraId="19B54CF0">
      <w:pPr>
        <w:pStyle w:val="6"/>
        <w:rPr>
          <w:rFonts w:hint="default" w:ascii="Times New Roman" w:hAnsi="Times New Roman" w:eastAsia="仿宋" w:cs="Times New Roman"/>
          <w:lang w:val="en-US" w:eastAsia="zh-CN"/>
        </w:rPr>
      </w:pPr>
    </w:p>
    <w:p w14:paraId="15E25D48">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lang w:val="en-US" w:eastAsia="zh-CN"/>
        </w:rPr>
        <w:t>采购要求：</w:t>
      </w:r>
    </w:p>
    <w:p w14:paraId="1DE40157">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sz w:val="32"/>
          <w:szCs w:val="32"/>
          <w:lang w:val="en-US" w:eastAsia="zh-CN"/>
        </w:rPr>
        <w:t>1.2025年（1月</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12月）预估</w:t>
      </w:r>
      <w:r>
        <w:rPr>
          <w:rFonts w:hint="default" w:ascii="Times New Roman" w:hAnsi="Times New Roman" w:eastAsia="仿宋" w:cs="Times New Roman"/>
          <w:color w:val="auto"/>
          <w:sz w:val="32"/>
          <w:szCs w:val="32"/>
          <w:lang w:val="en-US" w:eastAsia="zh-CN"/>
        </w:rPr>
        <w:t>电量：2</w:t>
      </w:r>
      <w:r>
        <w:rPr>
          <w:rFonts w:hint="eastAsia" w:eastAsia="仿宋" w:cs="Times New Roman"/>
          <w:color w:val="auto"/>
          <w:sz w:val="32"/>
          <w:szCs w:val="32"/>
          <w:lang w:val="en-US" w:eastAsia="zh-CN"/>
        </w:rPr>
        <w:t>2</w:t>
      </w:r>
      <w:r>
        <w:rPr>
          <w:rFonts w:hint="default" w:ascii="Times New Roman" w:hAnsi="Times New Roman" w:eastAsia="仿宋" w:cs="Times New Roman"/>
          <w:color w:val="auto"/>
          <w:sz w:val="32"/>
          <w:szCs w:val="32"/>
          <w:lang w:val="en-US" w:eastAsia="zh-CN"/>
        </w:rPr>
        <w:t>00000.00kW</w:t>
      </w:r>
      <w:r>
        <w:rPr>
          <w:rStyle w:val="21"/>
          <w:rFonts w:hint="default" w:ascii="Times New Roman" w:hAnsi="Times New Roman" w:eastAsia="仿宋" w:cs="Times New Roman"/>
          <w:b/>
          <w:bCs/>
          <w:i w:val="0"/>
          <w:iCs w:val="0"/>
          <w:caps w:val="0"/>
          <w:color w:val="auto"/>
          <w:spacing w:val="0"/>
          <w:sz w:val="21"/>
          <w:szCs w:val="21"/>
          <w:shd w:val="clear" w:fill="FFFFFF"/>
        </w:rPr>
        <w:t>·</w:t>
      </w:r>
      <w:r>
        <w:rPr>
          <w:rFonts w:hint="default" w:ascii="Times New Roman" w:hAnsi="Times New Roman" w:eastAsia="仿宋" w:cs="Times New Roman"/>
          <w:color w:val="auto"/>
          <w:sz w:val="32"/>
          <w:szCs w:val="32"/>
          <w:lang w:val="en-US" w:eastAsia="zh-CN"/>
        </w:rPr>
        <w:t>h。</w:t>
      </w:r>
    </w:p>
    <w:p w14:paraId="6F215527">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2.为采购人提供履约期内优惠电价，生产经营所需全部用电的购售电代理交易。</w:t>
      </w:r>
    </w:p>
    <w:p w14:paraId="3C1D8139">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3.供应商应按国家有关法规、规定和技术规范，为采购人提供全周期电力交易服务和用电增值服务，参与电力市场交易并按规定结算。</w:t>
      </w:r>
    </w:p>
    <w:p w14:paraId="58631DF5">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4.向采购人提供真实准确的有关电力直接交易的相关信息及资料，不得提供虚假或误导性的信息。</w:t>
      </w:r>
    </w:p>
    <w:p w14:paraId="59B22C8E">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5.根据国家有关法规支付电力交易相关费用。</w:t>
      </w:r>
    </w:p>
    <w:p w14:paraId="15189B30">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6.协助采购人申请办理电力交易有关手续。</w:t>
      </w:r>
    </w:p>
    <w:p w14:paraId="224728AF">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7.向采购人和电网经营企业提供与履行相关的其它信息。</w:t>
      </w:r>
    </w:p>
    <w:p w14:paraId="4281D36D">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8.</w:t>
      </w:r>
      <w:r>
        <w:rPr>
          <w:rFonts w:hint="default" w:ascii="Times New Roman" w:hAnsi="Times New Roman" w:eastAsia="仿宋" w:cs="Times New Roman"/>
          <w:sz w:val="32"/>
          <w:szCs w:val="32"/>
          <w:lang w:val="en-US" w:eastAsia="zh-CN"/>
        </w:rPr>
        <w:t>水电限价0.229元/k</w:t>
      </w:r>
      <w:r>
        <w:rPr>
          <w:rFonts w:hint="eastAsia" w:eastAsia="仿宋" w:cs="Times New Roman"/>
          <w:sz w:val="32"/>
          <w:szCs w:val="32"/>
          <w:lang w:val="en-US" w:eastAsia="zh-CN"/>
        </w:rPr>
        <w:t>W</w:t>
      </w:r>
      <w:r>
        <w:rPr>
          <w:rStyle w:val="21"/>
          <w:rFonts w:hint="default" w:ascii="Times New Roman" w:hAnsi="Times New Roman" w:eastAsia="仿宋" w:cs="Times New Roman"/>
          <w:b/>
          <w:bCs/>
          <w:i w:val="0"/>
          <w:iCs w:val="0"/>
          <w:caps w:val="0"/>
          <w:color w:val="333333"/>
          <w:spacing w:val="0"/>
          <w:sz w:val="21"/>
          <w:szCs w:val="21"/>
          <w:shd w:val="clear" w:fill="FFFFFF"/>
        </w:rPr>
        <w:t>·</w:t>
      </w:r>
      <w:r>
        <w:rPr>
          <w:rFonts w:hint="default" w:ascii="Times New Roman" w:hAnsi="Times New Roman" w:eastAsia="仿宋" w:cs="Times New Roman"/>
          <w:sz w:val="32"/>
          <w:szCs w:val="32"/>
          <w:lang w:val="en-US" w:eastAsia="zh-CN"/>
        </w:rPr>
        <w:t>h，所有单位报价均不能超过最高限价，否则作为废标处理。</w:t>
      </w:r>
    </w:p>
    <w:p w14:paraId="53D9D458">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eastAsia="仿宋" w:cs="Times New Roman"/>
          <w:sz w:val="32"/>
          <w:szCs w:val="32"/>
          <w:lang w:val="en-US" w:eastAsia="zh-CN"/>
        </w:rPr>
      </w:pPr>
    </w:p>
    <w:p w14:paraId="4999FE9A">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lang w:val="en-US" w:eastAsia="zh-CN"/>
        </w:rPr>
        <w:t>商务要求：</w:t>
      </w:r>
    </w:p>
    <w:p w14:paraId="71C3CF5A">
      <w:pPr>
        <w:pStyle w:val="17"/>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付款方式：</w:t>
      </w:r>
      <w:r>
        <w:rPr>
          <w:rFonts w:hint="eastAsia" w:ascii="Times New Roman" w:hAnsi="Times New Roman" w:eastAsia="仿宋" w:cs="Times New Roman"/>
          <w:sz w:val="32"/>
          <w:szCs w:val="32"/>
          <w:lang w:val="en-US" w:eastAsia="zh-CN"/>
        </w:rPr>
        <w:t>据实</w:t>
      </w:r>
      <w:r>
        <w:rPr>
          <w:rFonts w:hint="default" w:ascii="Times New Roman" w:hAnsi="Times New Roman" w:eastAsia="仿宋" w:cs="Times New Roman"/>
          <w:sz w:val="32"/>
          <w:szCs w:val="32"/>
          <w:lang w:val="en-US" w:eastAsia="zh-CN"/>
        </w:rPr>
        <w:t>月结</w:t>
      </w:r>
      <w:r>
        <w:rPr>
          <w:rFonts w:hint="eastAsia" w:ascii="Times New Roman" w:hAnsi="Times New Roman" w:eastAsia="仿宋" w:cs="Times New Roman"/>
          <w:sz w:val="32"/>
          <w:szCs w:val="32"/>
          <w:lang w:val="en-US" w:eastAsia="zh-CN"/>
        </w:rPr>
        <w:t>。</w:t>
      </w:r>
    </w:p>
    <w:p w14:paraId="231D56BB">
      <w:pPr>
        <w:pStyle w:val="17"/>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商务要求：</w:t>
      </w:r>
    </w:p>
    <w:p w14:paraId="7A9FD998">
      <w:pPr>
        <w:pStyle w:val="17"/>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left="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签订合同后</w:t>
      </w:r>
      <w:r>
        <w:rPr>
          <w:rFonts w:hint="default" w:ascii="Times New Roman" w:hAnsi="Times New Roman" w:eastAsia="仿宋" w:cs="Times New Roman"/>
          <w:color w:val="auto"/>
          <w:sz w:val="32"/>
          <w:szCs w:val="32"/>
          <w:lang w:val="en-US" w:eastAsia="zh-CN"/>
        </w:rPr>
        <w:t>，按照四川省电力交易中心发布的202</w:t>
      </w:r>
      <w:r>
        <w:rPr>
          <w:rFonts w:hint="eastAsia"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lang w:val="en-US" w:eastAsia="zh-CN"/>
        </w:rPr>
        <w:t>年交易文件执行，若有变动供应</w:t>
      </w:r>
      <w:r>
        <w:rPr>
          <w:rFonts w:hint="default" w:ascii="Times New Roman" w:hAnsi="Times New Roman" w:eastAsia="仿宋" w:cs="Times New Roman"/>
          <w:sz w:val="32"/>
          <w:szCs w:val="32"/>
          <w:lang w:val="en-US" w:eastAsia="zh-CN"/>
        </w:rPr>
        <w:t>商需及时向采购人汇报</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br w:type="textWrapping"/>
      </w:r>
      <w:r>
        <w:rPr>
          <w:rFonts w:hint="default" w:ascii="Times New Roman" w:hAnsi="Times New Roman" w:eastAsia="仿宋" w:cs="Times New Roman"/>
          <w:sz w:val="32"/>
          <w:szCs w:val="32"/>
          <w:lang w:val="en-US" w:eastAsia="zh-CN"/>
        </w:rPr>
        <w:t xml:space="preserve">    （2）供应商代采购人参与全年的双边协商和集中竞价等电力市场交易，采购人提供必要的配合</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br w:type="textWrapping"/>
      </w:r>
      <w:r>
        <w:rPr>
          <w:rFonts w:hint="default" w:ascii="Times New Roman" w:hAnsi="Times New Roman" w:eastAsia="仿宋" w:cs="Times New Roman"/>
          <w:sz w:val="32"/>
          <w:szCs w:val="32"/>
          <w:lang w:val="en-US" w:eastAsia="zh-CN"/>
        </w:rPr>
        <w:t xml:space="preserve">    （3）供应商报</w:t>
      </w:r>
      <w:r>
        <w:rPr>
          <w:rFonts w:hint="default" w:ascii="Times New Roman" w:hAnsi="Times New Roman" w:eastAsia="仿宋" w:cs="Times New Roman"/>
          <w:color w:val="auto"/>
          <w:sz w:val="32"/>
          <w:szCs w:val="32"/>
          <w:lang w:val="en-US" w:eastAsia="zh-CN"/>
        </w:rPr>
        <w:t>价</w:t>
      </w:r>
      <w:r>
        <w:rPr>
          <w:rFonts w:hint="default" w:ascii="Times New Roman" w:hAnsi="Times New Roman" w:eastAsia="仿宋" w:cs="Times New Roman"/>
          <w:color w:val="auto"/>
          <w:sz w:val="32"/>
          <w:szCs w:val="32"/>
          <w:u w:val="single"/>
          <w:lang w:val="en-US" w:eastAsia="zh-CN"/>
        </w:rPr>
        <w:t>按照丰水期、平水期、枯水期三个价格分别报价。</w:t>
      </w:r>
      <w:r>
        <w:rPr>
          <w:rFonts w:hint="default" w:ascii="Times New Roman" w:hAnsi="Times New Roman" w:eastAsia="仿宋" w:cs="Times New Roman"/>
          <w:sz w:val="32"/>
          <w:szCs w:val="32"/>
          <w:lang w:val="en-US" w:eastAsia="zh-CN"/>
        </w:rPr>
        <w:t>供应商所报交易结算到户电价限价包含水电电价、电厂侧让利和输配电价、政府性基金。若输配电价、政府性基金及附加发生改变，以政府最新定价文件为依据，全合同电量交易电价的价差在电厂侧让利保持不变的前提下同步调整</w:t>
      </w:r>
      <w:r>
        <w:rPr>
          <w:rFonts w:hint="eastAsia" w:ascii="Times New Roman" w:hAnsi="Times New Roman" w:eastAsia="仿宋" w:cs="Times New Roman"/>
          <w:sz w:val="32"/>
          <w:szCs w:val="32"/>
          <w:lang w:val="en-US" w:eastAsia="zh-CN"/>
        </w:rPr>
        <w:t>。</w:t>
      </w:r>
    </w:p>
    <w:p w14:paraId="5CB2314D">
      <w:pPr>
        <w:pStyle w:val="17"/>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其他要求：</w:t>
      </w:r>
    </w:p>
    <w:p w14:paraId="55E9E908">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（1）供应商需明确后续可提供的用电增值服务内容，为采购人提供相应服务；</w:t>
      </w:r>
      <w:r>
        <w:rPr>
          <w:rFonts w:hint="default" w:ascii="Times New Roman" w:hAnsi="Times New Roman" w:eastAsia="仿宋" w:cs="Times New Roman"/>
          <w:sz w:val="32"/>
          <w:szCs w:val="32"/>
          <w:lang w:val="en-US" w:eastAsia="zh-CN"/>
        </w:rPr>
        <w:br w:type="textWrapping"/>
      </w:r>
      <w:r>
        <w:rPr>
          <w:rFonts w:hint="default" w:ascii="Times New Roman" w:hAnsi="Times New Roman" w:eastAsia="仿宋" w:cs="Times New Roman"/>
          <w:sz w:val="32"/>
          <w:szCs w:val="32"/>
          <w:lang w:val="en-US" w:eastAsia="zh-CN"/>
        </w:rPr>
        <w:t xml:space="preserve">    （2）在购售电交易执行中，不会对采购人用电产生任何影响；</w:t>
      </w:r>
      <w:r>
        <w:rPr>
          <w:rFonts w:hint="default" w:ascii="Times New Roman" w:hAnsi="Times New Roman" w:eastAsia="仿宋" w:cs="Times New Roman"/>
          <w:sz w:val="32"/>
          <w:szCs w:val="32"/>
          <w:lang w:val="en-US" w:eastAsia="zh-CN"/>
        </w:rPr>
        <w:br w:type="textWrapping"/>
      </w:r>
      <w:r>
        <w:rPr>
          <w:rFonts w:hint="default" w:ascii="Times New Roman" w:hAnsi="Times New Roman" w:eastAsia="仿宋" w:cs="Times New Roman"/>
          <w:sz w:val="32"/>
          <w:szCs w:val="32"/>
          <w:lang w:val="en-US" w:eastAsia="zh-CN"/>
        </w:rPr>
        <w:t xml:space="preserve">    （3）采购人不承担电量偏差考核，采购人电量偏差由供应商全额承担（供应商须提供承诺函原件并加盖供应商公章）</w:t>
      </w:r>
      <w:r>
        <w:rPr>
          <w:rFonts w:hint="eastAsia" w:ascii="Times New Roman" w:hAnsi="Times New Roman" w:eastAsia="仿宋" w:cs="Times New Roman"/>
          <w:sz w:val="32"/>
          <w:szCs w:val="32"/>
          <w:lang w:val="en-US" w:eastAsia="zh-CN"/>
        </w:rPr>
        <w:t>；</w:t>
      </w:r>
    </w:p>
    <w:p w14:paraId="206C4C9E">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（4）供应商必须承担因预估电量偏差引起的一切费用风险（供应商须提供承诺函原件并加盖供应商公章）</w:t>
      </w:r>
      <w:r>
        <w:rPr>
          <w:rFonts w:hint="eastAsia" w:ascii="Times New Roman" w:hAnsi="Times New Roman" w:eastAsia="仿宋" w:cs="Times New Roman"/>
          <w:sz w:val="32"/>
          <w:szCs w:val="32"/>
          <w:lang w:val="en-US" w:eastAsia="zh-CN"/>
        </w:rPr>
        <w:t>；</w:t>
      </w:r>
    </w:p>
    <w:p w14:paraId="73A7B99D">
      <w:pPr>
        <w:pStyle w:val="17"/>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Chars="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14:paraId="24D17826">
      <w:pPr>
        <w:pStyle w:val="17"/>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left="0" w:leftChars="0" w:firstLine="420" w:firstLineChars="0"/>
        <w:textAlignment w:val="auto"/>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评分标准</w:t>
      </w:r>
    </w:p>
    <w:p w14:paraId="6159C940">
      <w:pPr>
        <w:pStyle w:val="1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eastAsia="仿宋" w:cs="Times New Roman"/>
          <w:b/>
          <w:bCs/>
          <w:sz w:val="32"/>
          <w:szCs w:val="32"/>
          <w:lang w:val="en-US" w:eastAsia="zh-CN"/>
        </w:rPr>
      </w:pPr>
      <w:r>
        <w:rPr>
          <w:rFonts w:hint="eastAsia" w:ascii="Times New Roman" w:hAnsi="Times New Roman" w:eastAsia="仿宋" w:cs="Times New Roman"/>
          <w:sz w:val="32"/>
          <w:szCs w:val="32"/>
          <w:lang w:val="en-US" w:eastAsia="zh-CN"/>
        </w:rPr>
        <w:t>丰水期、平水期、枯水期价格分按照5:2:5加权计算。</w:t>
      </w:r>
    </w:p>
    <w:p w14:paraId="66ED641C">
      <w:pPr>
        <w:rPr>
          <w:rFonts w:hint="default" w:ascii="Times New Roman" w:hAnsi="Times New Roman" w:eastAsia="仿宋" w:cs="Times New Roman"/>
          <w:lang w:eastAsia="zh-CN"/>
        </w:rPr>
      </w:pPr>
    </w:p>
    <w:p w14:paraId="74CF2E0A">
      <w:pPr>
        <w:rPr>
          <w:rFonts w:hint="default"/>
          <w:lang w:val="en-US" w:eastAsia="zh-CN"/>
        </w:rPr>
      </w:pPr>
    </w:p>
    <w:sectPr>
      <w:type w:val="continuous"/>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CED4A">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E8672">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6E8672">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F939B">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E3E2B">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9E3E2B">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2DA39">
    <w:pPr>
      <w:pStyle w:val="14"/>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E0613">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1CFD7947"/>
    <w:multiLevelType w:val="singleLevel"/>
    <w:tmpl w:val="1CFD7947"/>
    <w:lvl w:ilvl="0" w:tentative="0">
      <w:start w:val="1"/>
      <w:numFmt w:val="decimal"/>
      <w:suff w:val="nothing"/>
      <w:lvlText w:val="（%1）"/>
      <w:lvlJc w:val="left"/>
    </w:lvl>
  </w:abstractNum>
  <w:abstractNum w:abstractNumId="3">
    <w:nsid w:val="1D6A547E"/>
    <w:multiLevelType w:val="singleLevel"/>
    <w:tmpl w:val="1D6A547E"/>
    <w:lvl w:ilvl="0" w:tentative="0">
      <w:start w:val="1"/>
      <w:numFmt w:val="decimal"/>
      <w:suff w:val="nothing"/>
      <w:lvlText w:val="%1、"/>
      <w:lvlJc w:val="left"/>
      <w:pPr>
        <w:ind w:left="21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VmZThjMzNiOWMyOWMxMTEwM2ZiOGYwYzY1NzgifQ=="/>
  </w:docVars>
  <w:rsids>
    <w:rsidRoot w:val="20B86F62"/>
    <w:rsid w:val="00FE51BA"/>
    <w:rsid w:val="01724615"/>
    <w:rsid w:val="01AC44D5"/>
    <w:rsid w:val="01DA1F83"/>
    <w:rsid w:val="02380589"/>
    <w:rsid w:val="02653FAC"/>
    <w:rsid w:val="03247659"/>
    <w:rsid w:val="038264FB"/>
    <w:rsid w:val="03E45948"/>
    <w:rsid w:val="03EB6F22"/>
    <w:rsid w:val="047A7398"/>
    <w:rsid w:val="04976AF6"/>
    <w:rsid w:val="05813897"/>
    <w:rsid w:val="05B93485"/>
    <w:rsid w:val="05DD44EC"/>
    <w:rsid w:val="05FA4A68"/>
    <w:rsid w:val="06C83EF1"/>
    <w:rsid w:val="07954271"/>
    <w:rsid w:val="07E32607"/>
    <w:rsid w:val="083F7233"/>
    <w:rsid w:val="08570094"/>
    <w:rsid w:val="0892424A"/>
    <w:rsid w:val="08A100E8"/>
    <w:rsid w:val="08D706EB"/>
    <w:rsid w:val="09281C73"/>
    <w:rsid w:val="092B0852"/>
    <w:rsid w:val="0A5766D2"/>
    <w:rsid w:val="0B5B6EA7"/>
    <w:rsid w:val="0B9B184D"/>
    <w:rsid w:val="0BBF2600"/>
    <w:rsid w:val="0C3E61B9"/>
    <w:rsid w:val="0DA12370"/>
    <w:rsid w:val="0DBF0EC4"/>
    <w:rsid w:val="0DE40DBE"/>
    <w:rsid w:val="0E672DB3"/>
    <w:rsid w:val="0E904937"/>
    <w:rsid w:val="0E9E1831"/>
    <w:rsid w:val="0EAB0093"/>
    <w:rsid w:val="0EF10D38"/>
    <w:rsid w:val="0F225786"/>
    <w:rsid w:val="0FCE2C6B"/>
    <w:rsid w:val="10431267"/>
    <w:rsid w:val="107F49DA"/>
    <w:rsid w:val="10817E99"/>
    <w:rsid w:val="11103FB2"/>
    <w:rsid w:val="11106DD4"/>
    <w:rsid w:val="113065C7"/>
    <w:rsid w:val="11551C0D"/>
    <w:rsid w:val="11630C29"/>
    <w:rsid w:val="12374305"/>
    <w:rsid w:val="12AB3D92"/>
    <w:rsid w:val="132D67B3"/>
    <w:rsid w:val="13320F8E"/>
    <w:rsid w:val="13E72023"/>
    <w:rsid w:val="159705C2"/>
    <w:rsid w:val="182F44F3"/>
    <w:rsid w:val="184E41FF"/>
    <w:rsid w:val="1865790E"/>
    <w:rsid w:val="189E6B7E"/>
    <w:rsid w:val="18E41C4F"/>
    <w:rsid w:val="18EA25BB"/>
    <w:rsid w:val="193B3817"/>
    <w:rsid w:val="19497A6B"/>
    <w:rsid w:val="1998123A"/>
    <w:rsid w:val="19DF1744"/>
    <w:rsid w:val="19E443D3"/>
    <w:rsid w:val="1A8B6B5A"/>
    <w:rsid w:val="1AF5353D"/>
    <w:rsid w:val="1B493578"/>
    <w:rsid w:val="1B5723EF"/>
    <w:rsid w:val="1B93321C"/>
    <w:rsid w:val="1BAD400C"/>
    <w:rsid w:val="1C380FAC"/>
    <w:rsid w:val="1D6B6EF8"/>
    <w:rsid w:val="1DE81A96"/>
    <w:rsid w:val="1E4521C9"/>
    <w:rsid w:val="1E56168E"/>
    <w:rsid w:val="1E835F73"/>
    <w:rsid w:val="1EC85776"/>
    <w:rsid w:val="1F0B1E38"/>
    <w:rsid w:val="1F176598"/>
    <w:rsid w:val="1F782175"/>
    <w:rsid w:val="1FFB4E00"/>
    <w:rsid w:val="200C1DCC"/>
    <w:rsid w:val="2024443A"/>
    <w:rsid w:val="20AE4CDA"/>
    <w:rsid w:val="20B62B46"/>
    <w:rsid w:val="20B86F62"/>
    <w:rsid w:val="20DA469D"/>
    <w:rsid w:val="21141E9E"/>
    <w:rsid w:val="219C0C5F"/>
    <w:rsid w:val="223E3923"/>
    <w:rsid w:val="22CD72A0"/>
    <w:rsid w:val="22DC6C27"/>
    <w:rsid w:val="230709BE"/>
    <w:rsid w:val="2333299E"/>
    <w:rsid w:val="23B92E0F"/>
    <w:rsid w:val="24640781"/>
    <w:rsid w:val="24972E1D"/>
    <w:rsid w:val="252E23F7"/>
    <w:rsid w:val="2575459C"/>
    <w:rsid w:val="258F1C50"/>
    <w:rsid w:val="260C2C13"/>
    <w:rsid w:val="26DE5391"/>
    <w:rsid w:val="26F92D9C"/>
    <w:rsid w:val="27727EF2"/>
    <w:rsid w:val="27E167C8"/>
    <w:rsid w:val="27E8188C"/>
    <w:rsid w:val="27FC6D6D"/>
    <w:rsid w:val="280F7F64"/>
    <w:rsid w:val="286E79EF"/>
    <w:rsid w:val="294F75AB"/>
    <w:rsid w:val="295D2E54"/>
    <w:rsid w:val="29E733A5"/>
    <w:rsid w:val="29EC6ACA"/>
    <w:rsid w:val="2A4A2B2D"/>
    <w:rsid w:val="2A6F6F5A"/>
    <w:rsid w:val="2A752D03"/>
    <w:rsid w:val="2A954942"/>
    <w:rsid w:val="2AD02384"/>
    <w:rsid w:val="2B4A4982"/>
    <w:rsid w:val="2B6C2AA5"/>
    <w:rsid w:val="2B8711D4"/>
    <w:rsid w:val="2C3A64AA"/>
    <w:rsid w:val="2C603C27"/>
    <w:rsid w:val="2CC9483E"/>
    <w:rsid w:val="2CD61AC0"/>
    <w:rsid w:val="2D003A0D"/>
    <w:rsid w:val="2D225054"/>
    <w:rsid w:val="2D3E76EB"/>
    <w:rsid w:val="2D675D4F"/>
    <w:rsid w:val="2DAD2928"/>
    <w:rsid w:val="2E3D6C9E"/>
    <w:rsid w:val="2E681D4B"/>
    <w:rsid w:val="2E763F41"/>
    <w:rsid w:val="2ED755ED"/>
    <w:rsid w:val="2EFF3B7B"/>
    <w:rsid w:val="2F2D5CF3"/>
    <w:rsid w:val="2FFD053A"/>
    <w:rsid w:val="305074F8"/>
    <w:rsid w:val="30567424"/>
    <w:rsid w:val="30A43A04"/>
    <w:rsid w:val="30A47F0F"/>
    <w:rsid w:val="31AE2E30"/>
    <w:rsid w:val="32145B6C"/>
    <w:rsid w:val="32482F63"/>
    <w:rsid w:val="32887A79"/>
    <w:rsid w:val="32C455D6"/>
    <w:rsid w:val="3367096B"/>
    <w:rsid w:val="34015BA1"/>
    <w:rsid w:val="34104944"/>
    <w:rsid w:val="34607C42"/>
    <w:rsid w:val="34AD3121"/>
    <w:rsid w:val="35850C85"/>
    <w:rsid w:val="358537EA"/>
    <w:rsid w:val="36206E51"/>
    <w:rsid w:val="3645059F"/>
    <w:rsid w:val="36FA0C0E"/>
    <w:rsid w:val="37421881"/>
    <w:rsid w:val="37564C34"/>
    <w:rsid w:val="37AF0C3F"/>
    <w:rsid w:val="380D217B"/>
    <w:rsid w:val="381338B3"/>
    <w:rsid w:val="387820A1"/>
    <w:rsid w:val="391D2725"/>
    <w:rsid w:val="39241426"/>
    <w:rsid w:val="3A0A5821"/>
    <w:rsid w:val="3AE30FAC"/>
    <w:rsid w:val="3B3A67B9"/>
    <w:rsid w:val="3B572D45"/>
    <w:rsid w:val="3BB47094"/>
    <w:rsid w:val="3BD82555"/>
    <w:rsid w:val="3C396CD8"/>
    <w:rsid w:val="3D912EF9"/>
    <w:rsid w:val="3DA25E25"/>
    <w:rsid w:val="3E103198"/>
    <w:rsid w:val="3E5C675F"/>
    <w:rsid w:val="3EBE1131"/>
    <w:rsid w:val="3F541632"/>
    <w:rsid w:val="4003626C"/>
    <w:rsid w:val="405C5E24"/>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6C5AD4"/>
    <w:rsid w:val="487E3CCE"/>
    <w:rsid w:val="491D7010"/>
    <w:rsid w:val="49F61C6A"/>
    <w:rsid w:val="4A2F0F8F"/>
    <w:rsid w:val="4B21070C"/>
    <w:rsid w:val="4B6450F9"/>
    <w:rsid w:val="4C0A4C0B"/>
    <w:rsid w:val="4C6D260E"/>
    <w:rsid w:val="4CA65850"/>
    <w:rsid w:val="4D4867BB"/>
    <w:rsid w:val="4D7854C0"/>
    <w:rsid w:val="4E1C022A"/>
    <w:rsid w:val="4E1E1D89"/>
    <w:rsid w:val="4FA771C2"/>
    <w:rsid w:val="4FDC7DDA"/>
    <w:rsid w:val="5003209D"/>
    <w:rsid w:val="5079410E"/>
    <w:rsid w:val="508E2B4E"/>
    <w:rsid w:val="51AD521C"/>
    <w:rsid w:val="524A480D"/>
    <w:rsid w:val="5263348D"/>
    <w:rsid w:val="527E7420"/>
    <w:rsid w:val="5292301A"/>
    <w:rsid w:val="52C10CD7"/>
    <w:rsid w:val="52F64CB8"/>
    <w:rsid w:val="52FB39A7"/>
    <w:rsid w:val="531641E9"/>
    <w:rsid w:val="5446604D"/>
    <w:rsid w:val="547E1AE0"/>
    <w:rsid w:val="54F554AC"/>
    <w:rsid w:val="551A0D5D"/>
    <w:rsid w:val="55EE4C06"/>
    <w:rsid w:val="561A148B"/>
    <w:rsid w:val="565B213D"/>
    <w:rsid w:val="56D444B4"/>
    <w:rsid w:val="572D0183"/>
    <w:rsid w:val="57567F4A"/>
    <w:rsid w:val="57667B7B"/>
    <w:rsid w:val="578D66D2"/>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74DB0"/>
    <w:rsid w:val="5DA41796"/>
    <w:rsid w:val="5DC167D7"/>
    <w:rsid w:val="5F0E08C6"/>
    <w:rsid w:val="5F5075CA"/>
    <w:rsid w:val="5F7007A2"/>
    <w:rsid w:val="5F85487D"/>
    <w:rsid w:val="5FB650D9"/>
    <w:rsid w:val="6096215E"/>
    <w:rsid w:val="60973157"/>
    <w:rsid w:val="62B86D17"/>
    <w:rsid w:val="62C824CA"/>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915A21"/>
    <w:rsid w:val="69F16575"/>
    <w:rsid w:val="69FE6269"/>
    <w:rsid w:val="6B110ED0"/>
    <w:rsid w:val="6B3D74AC"/>
    <w:rsid w:val="6B827EC3"/>
    <w:rsid w:val="6BF5199F"/>
    <w:rsid w:val="6C81461E"/>
    <w:rsid w:val="6CE610BF"/>
    <w:rsid w:val="6CED312F"/>
    <w:rsid w:val="6D1916FD"/>
    <w:rsid w:val="6D226C43"/>
    <w:rsid w:val="6D535020"/>
    <w:rsid w:val="6DCF5925"/>
    <w:rsid w:val="6E383ABA"/>
    <w:rsid w:val="6E573888"/>
    <w:rsid w:val="6E8B493F"/>
    <w:rsid w:val="6EA3545A"/>
    <w:rsid w:val="6F9F7F7D"/>
    <w:rsid w:val="719A4F83"/>
    <w:rsid w:val="71DE50A5"/>
    <w:rsid w:val="722B548E"/>
    <w:rsid w:val="722E4AEA"/>
    <w:rsid w:val="73683978"/>
    <w:rsid w:val="73F43F5E"/>
    <w:rsid w:val="7438150C"/>
    <w:rsid w:val="746F037C"/>
    <w:rsid w:val="74F82EAA"/>
    <w:rsid w:val="75457DB7"/>
    <w:rsid w:val="7563067A"/>
    <w:rsid w:val="75E55D62"/>
    <w:rsid w:val="76466533"/>
    <w:rsid w:val="77F97E1C"/>
    <w:rsid w:val="77FF666B"/>
    <w:rsid w:val="785111E8"/>
    <w:rsid w:val="787B4617"/>
    <w:rsid w:val="78E831F4"/>
    <w:rsid w:val="79AC141B"/>
    <w:rsid w:val="79B51E35"/>
    <w:rsid w:val="79EA27D4"/>
    <w:rsid w:val="7AE23540"/>
    <w:rsid w:val="7C29457B"/>
    <w:rsid w:val="7CE9423F"/>
    <w:rsid w:val="7D9A1A1C"/>
    <w:rsid w:val="7DD94854"/>
    <w:rsid w:val="7E163DF2"/>
    <w:rsid w:val="7E1D587C"/>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4"/>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Document Map"/>
    <w:basedOn w:val="1"/>
    <w:next w:val="1"/>
    <w:qFormat/>
    <w:uiPriority w:val="0"/>
    <w:rPr>
      <w:rFonts w:ascii="宋体"/>
      <w:sz w:val="18"/>
      <w:szCs w:val="18"/>
    </w:rPr>
  </w:style>
  <w:style w:type="paragraph" w:styleId="6">
    <w:name w:val="Body Text"/>
    <w:basedOn w:val="1"/>
    <w:next w:val="7"/>
    <w:qFormat/>
    <w:uiPriority w:val="0"/>
    <w:pPr>
      <w:spacing w:after="120" w:afterLines="0" w:afterAutospacing="0"/>
    </w:pPr>
  </w:style>
  <w:style w:type="paragraph" w:styleId="7">
    <w:name w:val="Quote"/>
    <w:basedOn w:val="1"/>
    <w:next w:val="1"/>
    <w:qFormat/>
    <w:uiPriority w:val="0"/>
    <w:rPr>
      <w:i/>
      <w:iCs/>
      <w:color w:val="000000"/>
      <w:szCs w:val="22"/>
    </w:rPr>
  </w:style>
  <w:style w:type="paragraph" w:styleId="8">
    <w:name w:val="Body Text Indent"/>
    <w:basedOn w:val="1"/>
    <w:next w:val="9"/>
    <w:qFormat/>
    <w:uiPriority w:val="0"/>
    <w:pPr>
      <w:spacing w:after="120" w:afterLines="0"/>
      <w:ind w:left="420" w:leftChars="200"/>
    </w:pPr>
  </w:style>
  <w:style w:type="paragraph" w:styleId="9">
    <w:name w:val="envelope return"/>
    <w:basedOn w:val="1"/>
    <w:qFormat/>
    <w:uiPriority w:val="0"/>
    <w:pPr>
      <w:snapToGrid w:val="0"/>
    </w:pPr>
    <w:rPr>
      <w:rFonts w:ascii="Arial" w:hAnsi="Arial"/>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Cs w:val="20"/>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9628"/>
      </w:tabs>
      <w:spacing w:line="360" w:lineRule="auto"/>
      <w:jc w:val="center"/>
    </w:p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6"/>
    <w:qFormat/>
    <w:uiPriority w:val="0"/>
    <w:pPr>
      <w:ind w:firstLine="420" w:firstLineChars="100"/>
    </w:pPr>
    <w:rPr>
      <w:rFonts w:ascii="Times New Roman" w:hAnsi="Times New Roman" w:eastAsia="宋体" w:cs="Times New Roman"/>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Hyperlink"/>
    <w:qFormat/>
    <w:uiPriority w:val="0"/>
    <w:rPr>
      <w:color w:val="0000FF"/>
      <w:u w:val="single"/>
    </w:rPr>
  </w:style>
  <w:style w:type="character" w:customStyle="1" w:styleId="24">
    <w:name w:val="标题 1 Char"/>
    <w:link w:val="2"/>
    <w:qFormat/>
    <w:uiPriority w:val="0"/>
    <w:rPr>
      <w:rFonts w:hint="eastAsia" w:ascii="Times New Roman" w:hAnsi="Times New Roman" w:eastAsia="宋体"/>
      <w:b/>
      <w:color w:val="000000"/>
      <w:kern w:val="44"/>
      <w:sz w:val="44"/>
      <w:lang w:val="zh-CN"/>
    </w:rPr>
  </w:style>
  <w:style w:type="paragraph" w:customStyle="1" w:styleId="25">
    <w:name w:val="正文首行缩进两字符"/>
    <w:basedOn w:val="1"/>
    <w:qFormat/>
    <w:uiPriority w:val="0"/>
    <w:pPr>
      <w:spacing w:line="360" w:lineRule="auto"/>
      <w:ind w:firstLine="200" w:firstLineChars="200"/>
    </w:pPr>
  </w:style>
  <w:style w:type="character" w:customStyle="1" w:styleId="26">
    <w:name w:val="font21"/>
    <w:basedOn w:val="20"/>
    <w:qFormat/>
    <w:uiPriority w:val="0"/>
    <w:rPr>
      <w:rFonts w:ascii="Calibri" w:hAnsi="Calibri" w:cs="Calibri"/>
      <w:color w:val="000000"/>
      <w:sz w:val="18"/>
      <w:szCs w:val="18"/>
      <w:u w:val="none"/>
    </w:rPr>
  </w:style>
  <w:style w:type="character" w:customStyle="1" w:styleId="27">
    <w:name w:val="font01"/>
    <w:basedOn w:val="20"/>
    <w:qFormat/>
    <w:uiPriority w:val="0"/>
    <w:rPr>
      <w:rFonts w:hint="eastAsia" w:ascii="宋体" w:hAnsi="宋体" w:eastAsia="宋体" w:cs="宋体"/>
      <w:color w:val="000000"/>
      <w:sz w:val="18"/>
      <w:szCs w:val="18"/>
      <w:u w:val="none"/>
    </w:rPr>
  </w:style>
  <w:style w:type="paragraph" w:styleId="28">
    <w:name w:val="List Paragraph"/>
    <w:basedOn w:val="1"/>
    <w:qFormat/>
    <w:uiPriority w:val="34"/>
    <w:pPr>
      <w:ind w:firstLine="420" w:firstLineChars="200"/>
    </w:pPr>
    <w:rPr>
      <w:rFonts w:ascii="Calibri" w:hAnsi="Calibri" w:eastAsia="宋体" w:cs="Times New Roman"/>
      <w:sz w:val="21"/>
      <w:szCs w:val="22"/>
    </w:rPr>
  </w:style>
  <w:style w:type="paragraph" w:customStyle="1" w:styleId="29">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30">
    <w:name w:val="_Style 1"/>
    <w:basedOn w:val="1"/>
    <w:qFormat/>
    <w:uiPriority w:val="34"/>
    <w:pPr>
      <w:ind w:firstLine="420" w:firstLineChars="200"/>
    </w:pPr>
  </w:style>
  <w:style w:type="paragraph" w:customStyle="1" w:styleId="31">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Index1"/>
    <w:basedOn w:val="1"/>
    <w:next w:val="1"/>
    <w:qFormat/>
    <w:uiPriority w:val="0"/>
    <w:pPr>
      <w:jc w:val="both"/>
      <w:textAlignment w:val="baseline"/>
    </w:pPr>
    <w:rPr>
      <w:rFonts w:eastAsia="仿宋"/>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13</Pages>
  <Words>5180</Words>
  <Characters>5356</Characters>
  <Lines>0</Lines>
  <Paragraphs>0</Paragraphs>
  <TotalTime>0</TotalTime>
  <ScaleCrop>false</ScaleCrop>
  <LinksUpToDate>false</LinksUpToDate>
  <CharactersWithSpaces>5504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 逢源</cp:lastModifiedBy>
  <cp:lastPrinted>2023-12-05T01:29:00Z</cp:lastPrinted>
  <dcterms:modified xsi:type="dcterms:W3CDTF">2024-12-05T09:25:53Z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1E7C6606C4FA42638D9B4395257E87C8_13</vt:lpwstr>
  </property>
</Properties>
</file>