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A2787">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乐山市五通桥区人民医院院内采购公告</w:t>
      </w:r>
    </w:p>
    <w:p w14:paraId="7E40A9D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52CBC63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采购项目名称：竹根院区测绘服务</w:t>
      </w:r>
    </w:p>
    <w:p w14:paraId="5407005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 xml:space="preserve">YNCG2025001    </w:t>
      </w:r>
    </w:p>
    <w:p w14:paraId="504BE74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采购项目内容（详细要求请看附件）：为乐山市五通桥区人民医院后期的院区管理，现阶段需对老院区的房屋进行测绘，并办理不动产权证。</w:t>
      </w:r>
    </w:p>
    <w:p w14:paraId="4A475AD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二、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0C48E79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val="en-US" w:eastAsia="zh-CN"/>
        </w:rPr>
        <w:t>三</w:t>
      </w:r>
      <w:r>
        <w:rPr>
          <w:rFonts w:hint="eastAsia" w:ascii="仿宋" w:hAnsi="仿宋" w:eastAsia="仿宋" w:cs="仿宋"/>
          <w:color w:val="555555"/>
          <w:kern w:val="0"/>
          <w:sz w:val="32"/>
          <w:szCs w:val="32"/>
          <w:lang w:eastAsia="zh-CN"/>
        </w:rPr>
        <w:t>、供应商参加本次采购活动</w:t>
      </w:r>
      <w:r>
        <w:rPr>
          <w:rFonts w:hint="eastAsia" w:ascii="仿宋" w:hAnsi="仿宋" w:eastAsia="仿宋" w:cs="仿宋"/>
          <w:color w:val="555555"/>
          <w:kern w:val="0"/>
          <w:sz w:val="32"/>
          <w:szCs w:val="32"/>
          <w:lang w:val="en-US" w:eastAsia="zh-CN"/>
        </w:rPr>
        <w:t>需要</w:t>
      </w:r>
      <w:r>
        <w:rPr>
          <w:rFonts w:hint="eastAsia" w:ascii="仿宋" w:hAnsi="仿宋" w:eastAsia="仿宋" w:cs="仿宋"/>
          <w:color w:val="555555"/>
          <w:kern w:val="0"/>
          <w:sz w:val="32"/>
          <w:szCs w:val="32"/>
          <w:lang w:eastAsia="zh-CN"/>
        </w:rPr>
        <w:t>提交的资料：</w:t>
      </w:r>
    </w:p>
    <w:p w14:paraId="3DB55AE9">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潜在响应供应商可直接从本公告的附件中下载相关文件（如对文件有异议，应在本公告的有效时间电话询问或以书面提出合理质疑。公告到期后未收到书面质疑，视为潜在供应商认同文件的全部内容，采购办不再受理响应供应商对采购公告或相关文件的质疑。）</w:t>
      </w:r>
    </w:p>
    <w:p w14:paraId="783C53A1">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2.提交资料应按照采购文件中的承诺函、廉洁承诺书、采购资质要求、技术及商务要求提供2套。</w:t>
      </w:r>
    </w:p>
    <w:p w14:paraId="620E643A">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3.报价以及资料，采购响应文件封面请注明项目名称、联系人、联系电话、自行密封并加盖公章。</w:t>
      </w:r>
    </w:p>
    <w:p w14:paraId="363A63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4.请满足上述资质要求的供应商于</w:t>
      </w:r>
      <w:r>
        <w:rPr>
          <w:rFonts w:hint="eastAsia" w:ascii="仿宋" w:hAnsi="仿宋" w:eastAsia="仿宋" w:cs="仿宋"/>
          <w:color w:val="FF0000"/>
          <w:kern w:val="0"/>
          <w:sz w:val="32"/>
          <w:szCs w:val="32"/>
          <w:lang w:val="en-US" w:eastAsia="zh-CN"/>
        </w:rPr>
        <w:t>2024年1月9日17:00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14:paraId="6E635C9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四、其他要求（参加采购的供应商视为全部接受以下条款）</w:t>
      </w:r>
    </w:p>
    <w:p w14:paraId="70BFA8F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1.方案报价在30日内有效，报价包括供应商履约过程中的服务费、人工、差旅、保险、税金与供应商履约所需要的其他所有费用。</w:t>
      </w:r>
    </w:p>
    <w:p w14:paraId="2DF64BF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w:t>
      </w:r>
      <w:r>
        <w:rPr>
          <w:rFonts w:hint="eastAsia" w:ascii="仿宋" w:hAnsi="仿宋" w:eastAsia="仿宋" w:cs="仿宋"/>
          <w:color w:val="FF0000"/>
          <w:kern w:val="0"/>
          <w:sz w:val="32"/>
          <w:szCs w:val="32"/>
          <w:lang w:val="en-US" w:eastAsia="zh-CN"/>
        </w:rPr>
        <w:t>综合评分法（一次报价）</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，中标结果由医院网站公示，中标公司请在公示后30日内到采购办签订合同，超过公示后30日不响应签订合同的视为放弃中标资格，放弃中标资格或因不可抗力提出不能履行合同的，将按照排</w:t>
      </w:r>
      <w:r>
        <w:rPr>
          <w:rFonts w:hint="eastAsia" w:ascii="仿宋" w:hAnsi="仿宋" w:eastAsia="仿宋" w:cs="仿宋"/>
          <w:color w:val="auto"/>
          <w:kern w:val="0"/>
          <w:sz w:val="32"/>
          <w:szCs w:val="32"/>
          <w:lang w:val="en-US" w:eastAsia="zh-CN"/>
        </w:rPr>
        <w:t>名先后顺序依次替补或重新招采。</w:t>
      </w:r>
    </w:p>
    <w:p w14:paraId="77572E2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采购办</w:t>
      </w: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eastAsia="zh-CN"/>
        </w:rPr>
        <w:t>：徐老师</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0833-3211269</w:t>
      </w:r>
    </w:p>
    <w:p w14:paraId="7181928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项目办联系人：景老师      联系电话：0833-3200028</w:t>
      </w:r>
    </w:p>
    <w:p w14:paraId="05D5898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p>
    <w:p w14:paraId="43EED618">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0C005918">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4A68482B">
      <w:pPr>
        <w:pStyle w:val="30"/>
        <w:spacing w:line="240" w:lineRule="auto"/>
        <w:rPr>
          <w:rFonts w:hint="eastAsia"/>
          <w:lang w:eastAsia="zh-CN"/>
        </w:rPr>
      </w:pPr>
    </w:p>
    <w:p w14:paraId="752D63B9">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47C86D6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14:paraId="3B6BCC4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14:paraId="411BB50B">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bookmarkStart w:id="16" w:name="_GoBack"/>
      <w:bookmarkEnd w:id="16"/>
    </w:p>
    <w:p w14:paraId="04614F0E">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57FEB435">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3D9AA500">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”，“于   年  月  日  时  分前不得拆封”等字样。未按询价文件要求密封的响应文件将被拒收。</w:t>
      </w:r>
    </w:p>
    <w:p w14:paraId="499EFADB">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7023D98A">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6981F7BD">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5CC7BC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16780D8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411BA029">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3B27866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0BF2A081">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2B386358">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28EDF90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可以电话进行询问或以书面形式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587B39DC">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3A13245A">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2F8001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2E0F0D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77FB99C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3649028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21B4DE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2D1FE5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44EE35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04AF29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466F1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2FB8F3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70D37B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14:paraId="68C4AF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14:paraId="0E2BE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原则确定成交供应商。</w:t>
      </w:r>
    </w:p>
    <w:p w14:paraId="091173C2">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2BBA66FB">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2432D0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2D517F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2B2F65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7FB8D4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74CD86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11FD72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47EAEE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321478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4AC6F6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6389F7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28ED5D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015F6023">
      <w:pPr>
        <w:pStyle w:val="7"/>
        <w:ind w:left="0" w:leftChars="0" w:firstLine="0" w:firstLineChars="0"/>
        <w:rPr>
          <w:rFonts w:hint="eastAsia" w:ascii="黑体" w:hAnsi="黑体" w:eastAsia="黑体" w:cs="黑体"/>
          <w:lang w:eastAsia="zh-CN"/>
        </w:rPr>
      </w:pPr>
    </w:p>
    <w:p w14:paraId="313622CD">
      <w:pPr>
        <w:rPr>
          <w:rFonts w:hint="eastAsia" w:ascii="黑体" w:hAnsi="黑体" w:eastAsia="黑体" w:cs="黑体"/>
          <w:lang w:val="en-US" w:eastAsia="zh-CN"/>
        </w:rPr>
      </w:pPr>
    </w:p>
    <w:p w14:paraId="05D22D78">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051E9A29">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55C87371">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724E6C68">
      <w:pPr>
        <w:spacing w:line="400" w:lineRule="exact"/>
        <w:ind w:firstLine="4897" w:firstLineChars="583"/>
        <w:rPr>
          <w:rFonts w:hint="eastAsia" w:ascii="黑体" w:hAnsi="黑体" w:eastAsia="黑体" w:cs="黑体"/>
          <w:sz w:val="84"/>
          <w:szCs w:val="84"/>
          <w:lang w:eastAsia="zh-CN"/>
        </w:rPr>
      </w:pPr>
    </w:p>
    <w:p w14:paraId="5E7EE96D">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院内询价、采购、谈判、遴选文件</w:t>
      </w:r>
    </w:p>
    <w:p w14:paraId="6FE91240">
      <w:pPr>
        <w:rPr>
          <w:rFonts w:hint="eastAsia" w:ascii="黑体" w:hAnsi="黑体" w:eastAsia="黑体" w:cs="黑体"/>
          <w:sz w:val="84"/>
          <w:szCs w:val="84"/>
          <w:lang w:val="en-US" w:eastAsia="zh-CN"/>
        </w:rPr>
      </w:pPr>
    </w:p>
    <w:p w14:paraId="65B839F2">
      <w:pPr>
        <w:pStyle w:val="5"/>
        <w:rPr>
          <w:rFonts w:hint="eastAsia" w:ascii="黑体" w:hAnsi="黑体" w:eastAsia="黑体" w:cs="黑体"/>
          <w:lang w:val="en-US" w:eastAsia="zh-CN"/>
        </w:rPr>
      </w:pPr>
    </w:p>
    <w:p w14:paraId="24147955">
      <w:pPr>
        <w:spacing w:line="400" w:lineRule="exact"/>
        <w:ind w:firstLine="4897" w:firstLineChars="583"/>
        <w:rPr>
          <w:rFonts w:hint="eastAsia" w:ascii="黑体" w:hAnsi="黑体" w:eastAsia="黑体" w:cs="黑体"/>
          <w:sz w:val="84"/>
          <w:szCs w:val="84"/>
        </w:rPr>
      </w:pPr>
    </w:p>
    <w:p w14:paraId="03B0BC2C">
      <w:pPr>
        <w:spacing w:line="400" w:lineRule="exact"/>
        <w:ind w:firstLine="4897" w:firstLineChars="583"/>
        <w:rPr>
          <w:rFonts w:hint="eastAsia" w:ascii="黑体" w:hAnsi="黑体" w:eastAsia="黑体" w:cs="黑体"/>
          <w:sz w:val="84"/>
          <w:szCs w:val="84"/>
        </w:rPr>
      </w:pPr>
    </w:p>
    <w:p w14:paraId="44CCBE24">
      <w:pPr>
        <w:spacing w:line="400" w:lineRule="exact"/>
        <w:rPr>
          <w:rFonts w:hint="eastAsia" w:ascii="黑体" w:hAnsi="黑体" w:eastAsia="黑体" w:cs="黑体"/>
          <w:b/>
          <w:bCs/>
          <w:sz w:val="30"/>
          <w:szCs w:val="30"/>
        </w:rPr>
      </w:pPr>
    </w:p>
    <w:p w14:paraId="203C3763">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6D849B8D">
      <w:pPr>
        <w:widowControl w:val="0"/>
        <w:adjustRightInd/>
        <w:spacing w:line="360" w:lineRule="auto"/>
        <w:rPr>
          <w:rFonts w:hint="default" w:ascii="黑体" w:hAnsi="黑体" w:eastAsia="黑体" w:cs="黑体"/>
          <w:b/>
          <w:sz w:val="32"/>
          <w:szCs w:val="32"/>
          <w:u w:val="single"/>
          <w:lang w:val="en-US" w:eastAsia="zh-CN"/>
        </w:rPr>
      </w:pPr>
      <w:r>
        <w:rPr>
          <w:rFonts w:hint="eastAsia" w:ascii="黑体" w:hAnsi="黑体" w:eastAsia="黑体" w:cs="黑体"/>
          <w:b/>
          <w:bCs/>
          <w:sz w:val="32"/>
          <w:szCs w:val="32"/>
          <w:lang w:val="en-US" w:eastAsia="zh-CN"/>
        </w:rPr>
        <w:t>项目编号：</w:t>
      </w:r>
      <w:r>
        <w:rPr>
          <w:rFonts w:hint="eastAsia" w:ascii="黑体" w:hAnsi="黑体" w:eastAsia="黑体" w:cs="黑体"/>
          <w:b/>
          <w:sz w:val="32"/>
          <w:szCs w:val="32"/>
          <w:u w:val="single"/>
          <w:lang w:val="en-US" w:eastAsia="zh-CN"/>
        </w:rPr>
        <w:t xml:space="preserve">                            </w:t>
      </w:r>
    </w:p>
    <w:p w14:paraId="45786B23">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00278458">
      <w:pPr>
        <w:widowControl w:val="0"/>
        <w:adjustRightInd/>
        <w:spacing w:line="360" w:lineRule="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联系人及电话：________________________</w:t>
      </w:r>
    </w:p>
    <w:p w14:paraId="11F2C204">
      <w:pPr>
        <w:widowControl w:val="0"/>
        <w:adjustRightInd/>
        <w:spacing w:line="360" w:lineRule="auto"/>
        <w:ind w:firstLine="315" w:firstLineChars="98"/>
        <w:rPr>
          <w:rFonts w:hint="eastAsia" w:ascii="黑体" w:hAnsi="黑体" w:eastAsia="黑体" w:cs="黑体"/>
          <w:b/>
          <w:bCs/>
          <w:sz w:val="32"/>
          <w:szCs w:val="32"/>
        </w:rPr>
      </w:pPr>
    </w:p>
    <w:p w14:paraId="12B15D86">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0888E0B2">
      <w:pPr>
        <w:rPr>
          <w:rFonts w:hint="eastAsia" w:ascii="黑体" w:hAnsi="黑体" w:eastAsia="黑体" w:cs="黑体"/>
          <w:b/>
          <w:bCs/>
          <w:sz w:val="32"/>
          <w:szCs w:val="32"/>
        </w:rPr>
      </w:pPr>
      <w:bookmarkStart w:id="0" w:name="_Toc9490"/>
      <w:bookmarkStart w:id="1" w:name="_Toc18458"/>
      <w:bookmarkStart w:id="2" w:name="_Toc25737"/>
      <w:bookmarkStart w:id="3" w:name="_Toc5773"/>
      <w:r>
        <w:rPr>
          <w:rFonts w:hint="eastAsia" w:ascii="黑体" w:hAnsi="黑体" w:eastAsia="黑体" w:cs="黑体"/>
          <w:b/>
          <w:bCs/>
          <w:sz w:val="32"/>
          <w:szCs w:val="32"/>
        </w:rPr>
        <w:br w:type="page"/>
      </w:r>
    </w:p>
    <w:bookmarkEnd w:id="0"/>
    <w:bookmarkEnd w:id="1"/>
    <w:bookmarkEnd w:id="2"/>
    <w:bookmarkEnd w:id="3"/>
    <w:p w14:paraId="32BAF489">
      <w:pPr>
        <w:spacing w:line="240" w:lineRule="auto"/>
        <w:jc w:val="center"/>
        <w:rPr>
          <w:rFonts w:hint="eastAsia" w:ascii="黑体" w:hAnsi="黑体" w:eastAsia="黑体" w:cs="黑体"/>
          <w:color w:val="000000"/>
          <w:spacing w:val="2"/>
          <w:sz w:val="40"/>
          <w:szCs w:val="40"/>
        </w:rPr>
      </w:pPr>
      <w:bookmarkStart w:id="4" w:name="_Toc12449"/>
      <w:bookmarkStart w:id="5" w:name="_Toc439699516"/>
      <w:bookmarkStart w:id="6" w:name="_Toc17549"/>
      <w:bookmarkStart w:id="7" w:name="_Toc4003"/>
      <w:r>
        <w:rPr>
          <w:rFonts w:hint="eastAsia" w:ascii="黑体" w:hAnsi="黑体" w:eastAsia="黑体" w:cs="黑体"/>
          <w:color w:val="000000"/>
          <w:spacing w:val="2"/>
          <w:sz w:val="40"/>
          <w:szCs w:val="40"/>
        </w:rPr>
        <w:t>承诺函</w:t>
      </w:r>
    </w:p>
    <w:p w14:paraId="65A6C026">
      <w:pPr>
        <w:pStyle w:val="5"/>
        <w:rPr>
          <w:rFonts w:hint="eastAsia" w:ascii="黑体" w:hAnsi="黑体" w:eastAsia="黑体" w:cs="黑体"/>
          <w:sz w:val="28"/>
          <w:szCs w:val="28"/>
        </w:rPr>
      </w:pPr>
    </w:p>
    <w:p w14:paraId="35A996C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621E677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49427B7B">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5808735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45CA6DF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57F8FB3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442E8C9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16F002D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6141C7F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6808C17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68046A6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748248B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2477C9B4">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30D16A36">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5722C86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1665E5C6">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5C9A6E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026D5F56">
      <w:pPr>
        <w:pStyle w:val="29"/>
        <w:rPr>
          <w:rFonts w:hint="eastAsia" w:ascii="仿宋" w:hAnsi="仿宋" w:eastAsia="仿宋" w:cs="仿宋"/>
          <w:sz w:val="32"/>
          <w:szCs w:val="32"/>
        </w:rPr>
      </w:pPr>
    </w:p>
    <w:p w14:paraId="77BBA41A">
      <w:pPr>
        <w:rPr>
          <w:rFonts w:hint="eastAsia"/>
        </w:rPr>
      </w:pPr>
    </w:p>
    <w:p w14:paraId="37D7581A">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767C6A0F">
      <w:pPr>
        <w:snapToGrid w:val="0"/>
        <w:spacing w:line="360" w:lineRule="auto"/>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1B06D298">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w:t>
      </w:r>
      <w:r>
        <w:rPr>
          <w:rFonts w:hint="eastAsia" w:ascii="仿宋" w:hAnsi="仿宋" w:eastAsia="仿宋" w:cs="仿宋"/>
          <w:color w:val="auto"/>
          <w:kern w:val="2"/>
          <w:sz w:val="32"/>
          <w:szCs w:val="32"/>
        </w:rPr>
        <w:t>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p>
    <w:p w14:paraId="13B5865A">
      <w:pPr>
        <w:pStyle w:val="5"/>
        <w:adjustRightInd w:val="0"/>
        <w:snapToGrid w:val="0"/>
        <w:spacing w:after="0" w:line="360" w:lineRule="auto"/>
        <w:ind w:firstLine="560" w:firstLineChars="200"/>
        <w:rPr>
          <w:rFonts w:hint="eastAsia" w:ascii="黑体" w:hAnsi="黑体" w:eastAsia="黑体" w:cs="黑体"/>
          <w:sz w:val="28"/>
          <w:szCs w:val="28"/>
          <w:lang w:eastAsia="zh-CN"/>
        </w:rPr>
      </w:pPr>
    </w:p>
    <w:p w14:paraId="7089335C">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1BBDA091">
      <w:pPr>
        <w:spacing w:beforeLines="100" w:afterLines="200" w:line="320" w:lineRule="exact"/>
        <w:jc w:val="center"/>
        <w:rPr>
          <w:rFonts w:hint="eastAsia" w:ascii="黑体" w:hAnsi="黑体" w:eastAsia="黑体" w:cs="黑体"/>
          <w:color w:val="auto"/>
          <w:sz w:val="40"/>
          <w:szCs w:val="40"/>
        </w:rPr>
      </w:pPr>
      <w:bookmarkStart w:id="8" w:name="_Toc1800"/>
      <w:bookmarkStart w:id="9" w:name="_Toc439699522"/>
      <w:bookmarkStart w:id="10" w:name="_Toc12426"/>
      <w:bookmarkStart w:id="11" w:name="_Toc24199"/>
      <w:bookmarkStart w:id="12" w:name="_Toc16184"/>
      <w:bookmarkStart w:id="13" w:name="_Toc1287"/>
      <w:bookmarkStart w:id="14" w:name="_Toc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148A8028">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18987C15">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1D5853E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24F45CC4">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B254DDC">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4487798B">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0C1B6CE3">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6CE62E7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27BDA445">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4D3C4AEC">
      <w:pPr>
        <w:pStyle w:val="27"/>
        <w:spacing w:line="240" w:lineRule="auto"/>
        <w:ind w:firstLine="0"/>
        <w:rPr>
          <w:rFonts w:hint="eastAsia" w:ascii="仿宋" w:hAnsi="仿宋" w:eastAsia="仿宋" w:cs="仿宋"/>
          <w:color w:val="auto"/>
          <w:sz w:val="32"/>
          <w:szCs w:val="32"/>
        </w:rPr>
      </w:pPr>
    </w:p>
    <w:p w14:paraId="6DB0E3BA">
      <w:pPr>
        <w:pStyle w:val="27"/>
        <w:spacing w:line="240" w:lineRule="auto"/>
        <w:ind w:firstLine="0"/>
        <w:rPr>
          <w:rFonts w:hint="eastAsia" w:ascii="仿宋" w:hAnsi="仿宋" w:eastAsia="仿宋" w:cs="仿宋"/>
          <w:color w:val="auto"/>
          <w:sz w:val="32"/>
          <w:szCs w:val="32"/>
        </w:rPr>
      </w:pPr>
    </w:p>
    <w:p w14:paraId="3C1F2431">
      <w:pPr>
        <w:autoSpaceDN w:val="0"/>
        <w:spacing w:line="240" w:lineRule="auto"/>
        <w:ind w:firstLine="640" w:firstLineChars="200"/>
        <w:jc w:val="righ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bookmarkEnd w:id="15"/>
    </w:p>
    <w:p w14:paraId="6936C640">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2D85221F">
      <w:pPr>
        <w:numPr>
          <w:ilvl w:val="0"/>
          <w:numId w:val="2"/>
        </w:numPr>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采购资质要求</w:t>
      </w:r>
    </w:p>
    <w:p w14:paraId="533A034D">
      <w:pPr>
        <w:pStyle w:val="5"/>
        <w:rPr>
          <w:rFonts w:hint="eastAsia" w:ascii="黑体" w:hAnsi="黑体" w:eastAsia="黑体" w:cs="黑体"/>
          <w:b/>
          <w:sz w:val="36"/>
          <w:szCs w:val="36"/>
          <w:lang w:val="en-US" w:eastAsia="zh-CN"/>
        </w:rPr>
      </w:pPr>
    </w:p>
    <w:p w14:paraId="7F675663">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5809"/>
        <w:gridCol w:w="912"/>
        <w:gridCol w:w="1497"/>
      </w:tblGrid>
      <w:tr w14:paraId="4759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92" w:type="pct"/>
            <w:noWrap w:val="0"/>
            <w:vAlign w:val="center"/>
          </w:tcPr>
          <w:p w14:paraId="54D3584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256" w:type="pct"/>
            <w:noWrap w:val="0"/>
            <w:vAlign w:val="center"/>
          </w:tcPr>
          <w:p w14:paraId="5E0C646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1" w:type="pct"/>
            <w:noWrap w:val="0"/>
            <w:vAlign w:val="center"/>
          </w:tcPr>
          <w:p w14:paraId="7E34BE7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39" w:type="pct"/>
            <w:noWrap w:val="0"/>
            <w:vAlign w:val="center"/>
          </w:tcPr>
          <w:p w14:paraId="65C7415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54ED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92" w:type="pct"/>
            <w:noWrap w:val="0"/>
            <w:vAlign w:val="center"/>
          </w:tcPr>
          <w:p w14:paraId="7345429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256" w:type="pct"/>
            <w:noWrap w:val="0"/>
            <w:vAlign w:val="center"/>
          </w:tcPr>
          <w:p w14:paraId="2077600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1" w:type="pct"/>
            <w:noWrap w:val="0"/>
            <w:vAlign w:val="center"/>
          </w:tcPr>
          <w:p w14:paraId="5C99747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39" w:type="pct"/>
            <w:noWrap w:val="0"/>
            <w:vAlign w:val="center"/>
          </w:tcPr>
          <w:p w14:paraId="03C1F4A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5156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92" w:type="pct"/>
            <w:noWrap w:val="0"/>
            <w:vAlign w:val="center"/>
          </w:tcPr>
          <w:p w14:paraId="1D80CC9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256" w:type="pct"/>
            <w:noWrap w:val="0"/>
            <w:vAlign w:val="center"/>
          </w:tcPr>
          <w:p w14:paraId="57E28AE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1" w:type="pct"/>
            <w:noWrap w:val="0"/>
            <w:vAlign w:val="center"/>
          </w:tcPr>
          <w:p w14:paraId="286C279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39" w:type="pct"/>
            <w:noWrap w:val="0"/>
            <w:vAlign w:val="center"/>
          </w:tcPr>
          <w:p w14:paraId="42C7378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052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92" w:type="pct"/>
            <w:noWrap w:val="0"/>
            <w:vAlign w:val="center"/>
          </w:tcPr>
          <w:p w14:paraId="5CFA2AD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256" w:type="pct"/>
            <w:shd w:val="clear" w:color="auto" w:fill="auto"/>
            <w:noWrap w:val="0"/>
            <w:vAlign w:val="center"/>
          </w:tcPr>
          <w:p w14:paraId="0A25098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1" w:type="pct"/>
            <w:shd w:val="clear" w:color="auto" w:fill="auto"/>
            <w:noWrap w:val="0"/>
            <w:vAlign w:val="center"/>
          </w:tcPr>
          <w:p w14:paraId="1D9CB619">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39" w:type="pct"/>
            <w:shd w:val="clear" w:color="auto" w:fill="auto"/>
            <w:noWrap w:val="0"/>
            <w:vAlign w:val="center"/>
          </w:tcPr>
          <w:p w14:paraId="3910778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盖章</w:t>
            </w:r>
          </w:p>
        </w:tc>
      </w:tr>
      <w:tr w14:paraId="36A1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392" w:type="pct"/>
            <w:noWrap w:val="0"/>
            <w:vAlign w:val="center"/>
          </w:tcPr>
          <w:p w14:paraId="637F240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256" w:type="pct"/>
            <w:shd w:val="clear" w:color="auto" w:fill="auto"/>
            <w:noWrap w:val="0"/>
            <w:vAlign w:val="center"/>
          </w:tcPr>
          <w:p w14:paraId="24FFDEED">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测绘乙级及以上资质，测绘资质证书专业类别须含有“界线与不动产测绘”。</w:t>
            </w:r>
          </w:p>
        </w:tc>
        <w:tc>
          <w:tcPr>
            <w:tcW w:w="511" w:type="pct"/>
            <w:shd w:val="clear" w:color="auto" w:fill="auto"/>
            <w:noWrap w:val="0"/>
            <w:vAlign w:val="center"/>
          </w:tcPr>
          <w:p w14:paraId="61A7CF0F">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39" w:type="pct"/>
            <w:shd w:val="clear" w:color="auto" w:fill="auto"/>
            <w:noWrap w:val="0"/>
            <w:vAlign w:val="center"/>
          </w:tcPr>
          <w:p w14:paraId="369458A8">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r w14:paraId="3A1B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pct"/>
            <w:noWrap w:val="0"/>
            <w:vAlign w:val="center"/>
          </w:tcPr>
          <w:p w14:paraId="2111DE3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256" w:type="pct"/>
            <w:noWrap w:val="0"/>
            <w:vAlign w:val="center"/>
          </w:tcPr>
          <w:p w14:paraId="1868FD0C">
            <w:pPr>
              <w:snapToGrid w:val="0"/>
              <w:spacing w:line="240" w:lineRule="auto"/>
              <w:contextualSpacing/>
              <w:rPr>
                <w:rFonts w:hint="eastAsia" w:ascii="仿宋" w:hAnsi="仿宋" w:eastAsia="仿宋" w:cs="仿宋"/>
                <w:color w:val="000000"/>
                <w:spacing w:val="2"/>
                <w:sz w:val="32"/>
                <w:szCs w:val="32"/>
                <w:lang w:eastAsia="zh-CN"/>
              </w:rPr>
            </w:pPr>
          </w:p>
        </w:tc>
        <w:tc>
          <w:tcPr>
            <w:tcW w:w="511" w:type="pct"/>
            <w:noWrap w:val="0"/>
            <w:vAlign w:val="center"/>
          </w:tcPr>
          <w:p w14:paraId="72980604">
            <w:pPr>
              <w:snapToGrid w:val="0"/>
              <w:spacing w:line="240" w:lineRule="auto"/>
              <w:contextualSpacing/>
              <w:rPr>
                <w:rFonts w:hint="eastAsia" w:ascii="仿宋" w:hAnsi="仿宋" w:eastAsia="仿宋" w:cs="仿宋"/>
                <w:color w:val="000000"/>
                <w:spacing w:val="2"/>
                <w:sz w:val="32"/>
                <w:szCs w:val="32"/>
                <w:lang w:val="en-US" w:eastAsia="zh-CN"/>
              </w:rPr>
            </w:pPr>
          </w:p>
        </w:tc>
        <w:tc>
          <w:tcPr>
            <w:tcW w:w="839" w:type="pct"/>
            <w:noWrap w:val="0"/>
            <w:vAlign w:val="center"/>
          </w:tcPr>
          <w:p w14:paraId="6264DAF9">
            <w:pPr>
              <w:snapToGrid w:val="0"/>
              <w:spacing w:line="240" w:lineRule="auto"/>
              <w:contextualSpacing/>
              <w:rPr>
                <w:rFonts w:hint="eastAsia" w:ascii="仿宋" w:hAnsi="仿宋" w:eastAsia="仿宋" w:cs="仿宋"/>
                <w:color w:val="000000"/>
                <w:spacing w:val="2"/>
                <w:sz w:val="32"/>
                <w:szCs w:val="32"/>
                <w:lang w:val="en-US" w:eastAsia="zh-CN"/>
              </w:rPr>
            </w:pPr>
          </w:p>
        </w:tc>
      </w:tr>
      <w:tr w14:paraId="2822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92" w:type="pct"/>
            <w:noWrap w:val="0"/>
            <w:vAlign w:val="center"/>
          </w:tcPr>
          <w:p w14:paraId="2E814991">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256" w:type="pct"/>
            <w:noWrap w:val="0"/>
            <w:vAlign w:val="center"/>
          </w:tcPr>
          <w:p w14:paraId="4BEDD5F8">
            <w:pPr>
              <w:snapToGrid w:val="0"/>
              <w:spacing w:line="240" w:lineRule="auto"/>
              <w:contextualSpacing/>
              <w:rPr>
                <w:rFonts w:hint="eastAsia" w:ascii="仿宋" w:hAnsi="仿宋" w:eastAsia="仿宋" w:cs="仿宋"/>
                <w:color w:val="000000"/>
                <w:spacing w:val="2"/>
                <w:sz w:val="32"/>
                <w:szCs w:val="32"/>
                <w:lang w:val="en-US" w:eastAsia="zh-CN"/>
              </w:rPr>
            </w:pPr>
          </w:p>
        </w:tc>
        <w:tc>
          <w:tcPr>
            <w:tcW w:w="511" w:type="pct"/>
            <w:noWrap w:val="0"/>
            <w:vAlign w:val="center"/>
          </w:tcPr>
          <w:p w14:paraId="1F4F69D6">
            <w:pPr>
              <w:snapToGrid w:val="0"/>
              <w:spacing w:line="240" w:lineRule="auto"/>
              <w:contextualSpacing/>
              <w:rPr>
                <w:rFonts w:hint="eastAsia" w:ascii="仿宋" w:hAnsi="仿宋" w:eastAsia="仿宋" w:cs="仿宋"/>
                <w:color w:val="000000"/>
                <w:spacing w:val="2"/>
                <w:sz w:val="32"/>
                <w:szCs w:val="32"/>
                <w:lang w:eastAsia="zh-CN"/>
              </w:rPr>
            </w:pPr>
          </w:p>
        </w:tc>
        <w:tc>
          <w:tcPr>
            <w:tcW w:w="839" w:type="pct"/>
            <w:noWrap w:val="0"/>
            <w:vAlign w:val="center"/>
          </w:tcPr>
          <w:p w14:paraId="56F03F65">
            <w:pPr>
              <w:snapToGrid w:val="0"/>
              <w:spacing w:line="240" w:lineRule="auto"/>
              <w:contextualSpacing/>
              <w:rPr>
                <w:rFonts w:hint="eastAsia" w:ascii="仿宋" w:hAnsi="仿宋" w:eastAsia="仿宋" w:cs="仿宋"/>
                <w:color w:val="000000"/>
                <w:spacing w:val="2"/>
                <w:sz w:val="32"/>
                <w:szCs w:val="32"/>
                <w:lang w:eastAsia="zh-CN"/>
              </w:rPr>
            </w:pPr>
          </w:p>
        </w:tc>
      </w:tr>
      <w:tr w14:paraId="5D3B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92" w:type="pct"/>
            <w:noWrap w:val="0"/>
            <w:vAlign w:val="center"/>
          </w:tcPr>
          <w:p w14:paraId="6347D034">
            <w:pPr>
              <w:snapToGrid w:val="0"/>
              <w:spacing w:line="240" w:lineRule="auto"/>
              <w:contextualSpacing/>
              <w:rPr>
                <w:rFonts w:hint="eastAsia" w:ascii="仿宋" w:hAnsi="仿宋" w:eastAsia="仿宋" w:cs="仿宋"/>
                <w:color w:val="000000"/>
                <w:spacing w:val="2"/>
                <w:sz w:val="32"/>
                <w:szCs w:val="32"/>
                <w:lang w:eastAsia="zh-CN"/>
              </w:rPr>
            </w:pPr>
          </w:p>
        </w:tc>
        <w:tc>
          <w:tcPr>
            <w:tcW w:w="3256" w:type="pct"/>
            <w:noWrap w:val="0"/>
            <w:vAlign w:val="center"/>
          </w:tcPr>
          <w:p w14:paraId="6AC71881">
            <w:pPr>
              <w:snapToGrid w:val="0"/>
              <w:spacing w:line="240" w:lineRule="auto"/>
              <w:contextualSpacing/>
              <w:rPr>
                <w:rFonts w:hint="eastAsia" w:ascii="仿宋" w:hAnsi="仿宋" w:eastAsia="仿宋" w:cs="仿宋"/>
                <w:color w:val="000000"/>
                <w:spacing w:val="2"/>
                <w:sz w:val="32"/>
                <w:szCs w:val="32"/>
                <w:lang w:val="en-US" w:eastAsia="zh-CN"/>
              </w:rPr>
            </w:pPr>
          </w:p>
        </w:tc>
        <w:tc>
          <w:tcPr>
            <w:tcW w:w="511" w:type="pct"/>
            <w:noWrap w:val="0"/>
            <w:vAlign w:val="center"/>
          </w:tcPr>
          <w:p w14:paraId="181B9554">
            <w:pPr>
              <w:snapToGrid w:val="0"/>
              <w:spacing w:line="240" w:lineRule="auto"/>
              <w:contextualSpacing/>
              <w:rPr>
                <w:rFonts w:hint="eastAsia" w:ascii="仿宋" w:hAnsi="仿宋" w:eastAsia="仿宋" w:cs="仿宋"/>
                <w:color w:val="000000"/>
                <w:spacing w:val="2"/>
                <w:sz w:val="32"/>
                <w:szCs w:val="32"/>
                <w:lang w:eastAsia="zh-CN"/>
              </w:rPr>
            </w:pPr>
          </w:p>
        </w:tc>
        <w:tc>
          <w:tcPr>
            <w:tcW w:w="839" w:type="pct"/>
            <w:noWrap w:val="0"/>
            <w:vAlign w:val="center"/>
          </w:tcPr>
          <w:p w14:paraId="0A6B7EED">
            <w:pPr>
              <w:snapToGrid w:val="0"/>
              <w:spacing w:line="240" w:lineRule="auto"/>
              <w:contextualSpacing/>
              <w:rPr>
                <w:rFonts w:hint="eastAsia" w:ascii="仿宋" w:hAnsi="仿宋" w:eastAsia="仿宋" w:cs="仿宋"/>
                <w:color w:val="000000"/>
                <w:spacing w:val="2"/>
                <w:sz w:val="32"/>
                <w:szCs w:val="32"/>
                <w:lang w:eastAsia="zh-CN"/>
              </w:rPr>
            </w:pPr>
          </w:p>
        </w:tc>
      </w:tr>
      <w:tr w14:paraId="13CC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92" w:type="pct"/>
            <w:noWrap w:val="0"/>
            <w:vAlign w:val="center"/>
          </w:tcPr>
          <w:p w14:paraId="6C97E152">
            <w:pPr>
              <w:snapToGrid w:val="0"/>
              <w:spacing w:line="240" w:lineRule="auto"/>
              <w:contextualSpacing/>
              <w:rPr>
                <w:rFonts w:hint="default" w:ascii="仿宋" w:hAnsi="仿宋" w:eastAsia="仿宋" w:cs="仿宋"/>
                <w:color w:val="000000"/>
                <w:spacing w:val="2"/>
                <w:sz w:val="32"/>
                <w:szCs w:val="32"/>
                <w:lang w:val="en-US" w:eastAsia="zh-CN"/>
              </w:rPr>
            </w:pPr>
          </w:p>
        </w:tc>
        <w:tc>
          <w:tcPr>
            <w:tcW w:w="3256" w:type="pct"/>
            <w:noWrap w:val="0"/>
            <w:vAlign w:val="center"/>
          </w:tcPr>
          <w:p w14:paraId="3CC69F2B">
            <w:pPr>
              <w:snapToGrid w:val="0"/>
              <w:spacing w:line="240" w:lineRule="auto"/>
              <w:contextualSpacing/>
              <w:rPr>
                <w:rFonts w:hint="default" w:ascii="仿宋" w:hAnsi="仿宋" w:eastAsia="仿宋" w:cs="仿宋"/>
                <w:color w:val="000000"/>
                <w:spacing w:val="2"/>
                <w:sz w:val="32"/>
                <w:szCs w:val="32"/>
                <w:lang w:val="en-US" w:eastAsia="zh-CN"/>
              </w:rPr>
            </w:pPr>
          </w:p>
        </w:tc>
        <w:tc>
          <w:tcPr>
            <w:tcW w:w="511" w:type="pct"/>
            <w:noWrap w:val="0"/>
            <w:vAlign w:val="center"/>
          </w:tcPr>
          <w:p w14:paraId="70DAD64F">
            <w:pPr>
              <w:snapToGrid w:val="0"/>
              <w:spacing w:line="240" w:lineRule="auto"/>
              <w:contextualSpacing/>
              <w:rPr>
                <w:rFonts w:hint="default" w:ascii="仿宋" w:hAnsi="仿宋" w:eastAsia="仿宋" w:cs="仿宋"/>
                <w:color w:val="000000"/>
                <w:spacing w:val="2"/>
                <w:sz w:val="32"/>
                <w:szCs w:val="32"/>
                <w:lang w:val="en-US" w:eastAsia="zh-CN"/>
              </w:rPr>
            </w:pPr>
          </w:p>
        </w:tc>
        <w:tc>
          <w:tcPr>
            <w:tcW w:w="839" w:type="pct"/>
            <w:noWrap w:val="0"/>
            <w:vAlign w:val="center"/>
          </w:tcPr>
          <w:p w14:paraId="7BFAF613">
            <w:pPr>
              <w:snapToGrid w:val="0"/>
              <w:spacing w:line="240" w:lineRule="auto"/>
              <w:contextualSpacing/>
              <w:rPr>
                <w:rFonts w:hint="default" w:ascii="仿宋" w:hAnsi="仿宋" w:eastAsia="仿宋" w:cs="仿宋"/>
                <w:color w:val="000000"/>
                <w:spacing w:val="2"/>
                <w:sz w:val="32"/>
                <w:szCs w:val="32"/>
                <w:lang w:val="en-US" w:eastAsia="zh-CN"/>
              </w:rPr>
            </w:pPr>
          </w:p>
        </w:tc>
      </w:tr>
    </w:tbl>
    <w:p w14:paraId="0C144795">
      <w:pPr>
        <w:pStyle w:val="5"/>
        <w:rPr>
          <w:rFonts w:hint="eastAsia" w:ascii="仿宋" w:hAnsi="仿宋" w:eastAsia="仿宋" w:cs="仿宋"/>
          <w:color w:val="auto"/>
          <w:sz w:val="30"/>
          <w:szCs w:val="30"/>
          <w:highlight w:val="none"/>
          <w:lang w:eastAsia="zh-CN"/>
        </w:rPr>
      </w:pPr>
    </w:p>
    <w:p w14:paraId="5B02DBCE">
      <w:pPr>
        <w:autoSpaceDN w:val="0"/>
        <w:spacing w:line="240" w:lineRule="auto"/>
        <w:ind w:firstLine="6560" w:firstLineChars="2050"/>
        <w:rPr>
          <w:rFonts w:hint="eastAsia" w:ascii="仿宋" w:hAnsi="仿宋" w:eastAsia="仿宋" w:cs="仿宋"/>
          <w:color w:val="auto"/>
          <w:kern w:val="2"/>
          <w:sz w:val="32"/>
          <w:szCs w:val="32"/>
        </w:rPr>
      </w:pPr>
    </w:p>
    <w:p w14:paraId="3B727D9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523A648E">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72D33233">
      <w:pPr>
        <w:pStyle w:val="5"/>
        <w:rPr>
          <w:rFonts w:hint="eastAsia" w:ascii="黑体" w:hAnsi="黑体" w:eastAsia="黑体" w:cs="黑体"/>
          <w:lang w:val="en-US" w:eastAsia="zh-CN"/>
        </w:rPr>
      </w:pPr>
    </w:p>
    <w:p w14:paraId="2E758947">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技术参数要求（以下要求必须全部响应，否则视为负偏离）：</w:t>
      </w:r>
    </w:p>
    <w:p w14:paraId="4706F5CE">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（一）现场勘测</w:t>
      </w:r>
    </w:p>
    <w:p w14:paraId="2C0FDB3A">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对需办理不动产权的房屋进行现场踏勘，收集基础资料，权属来源依据，并制定项目作业流程。</w:t>
      </w:r>
    </w:p>
    <w:p w14:paraId="6A015BCE">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（二）测量与绘图</w:t>
      </w:r>
    </w:p>
    <w:p w14:paraId="0459AE3E">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对乐山市市五通桥区人民医院全院（地址：乐山市五通桥区竹根镇佑君街北段72号）进行现场调查，确认房屋材质、层数、坐落等基本信息；通过测绘仪器，对拟办理不动产权证的房屋进行现场实测，并绘制草图；数据采集完成后，通过制图软件，绘制房屋坐落分布图、房产图等图纸。</w:t>
      </w:r>
    </w:p>
    <w:p w14:paraId="09AF044B">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（三）数据分析与处理</w:t>
      </w:r>
    </w:p>
    <w:p w14:paraId="177C4DBD">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依据外业测绘数据、绘制的房屋图纸，通过软件计算房屋产权面积、分摊面积等。</w:t>
      </w:r>
    </w:p>
    <w:p w14:paraId="34364228">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（四）标准要求</w:t>
      </w:r>
    </w:p>
    <w:p w14:paraId="6E4AA4C0">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(1)《民用建筑通用规范 GB 55031-2022》</w:t>
      </w:r>
    </w:p>
    <w:p w14:paraId="706DFEA3">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(2)建设部“关于房屋建筑面积与房屋权属登记有关问题的通知”（建住房[2002]74号）；</w:t>
      </w:r>
    </w:p>
    <w:p w14:paraId="7FFA3087">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(3)建设厅“转发建设部《关于房屋建筑面积计算与房屋权属登记有关问题的通知》的通知（川建发[2002]104号）；</w:t>
      </w:r>
    </w:p>
    <w:p w14:paraId="3F1526BC">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(4)四川省建设厅、四川省测绘局《四川省房产测绘实施细则》；</w:t>
      </w:r>
    </w:p>
    <w:p w14:paraId="62D7BD1B">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(5)满足五通桥区不动产登记中心对房屋测绘的相关要求</w:t>
      </w:r>
    </w:p>
    <w:p w14:paraId="102C17DF">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2.交付成果</w:t>
      </w:r>
    </w:p>
    <w:p w14:paraId="20759FD5">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汇交的成果资料清单包含：房屋分户图、面积表等。</w:t>
      </w:r>
    </w:p>
    <w:p w14:paraId="107212EF">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3.成果质量</w:t>
      </w:r>
    </w:p>
    <w:p w14:paraId="0259DEC7">
      <w:pPr>
        <w:keepNext w:val="0"/>
        <w:keepLines w:val="0"/>
        <w:pageBreakBefore w:val="0"/>
        <w:widowControl w:val="0"/>
        <w:kinsoku/>
        <w:wordWrap/>
        <w:overflowPunct/>
        <w:topLinePunct w:val="0"/>
        <w:autoSpaceDE/>
        <w:autoSpaceDN/>
        <w:bidi w:val="0"/>
        <w:adjustRightInd/>
        <w:snapToGrid w:val="0"/>
        <w:spacing w:line="240" w:lineRule="auto"/>
        <w:ind w:firstLine="648" w:firstLineChars="200"/>
        <w:contextualSpacing/>
        <w:textAlignment w:val="auto"/>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严格遵守国家有关法律、法规，执行国家测量规范和技术标准并对其完成的房产测绘成果质量负责。</w:t>
      </w:r>
    </w:p>
    <w:p w14:paraId="5209AB70">
      <w:pPr>
        <w:pStyle w:val="16"/>
        <w:numPr>
          <w:ilvl w:val="0"/>
          <w:numId w:val="0"/>
        </w:numPr>
        <w:spacing w:line="240" w:lineRule="auto"/>
        <w:ind w:leftChars="0"/>
        <w:rPr>
          <w:rFonts w:hint="eastAsia" w:ascii="仿宋" w:hAnsi="仿宋" w:eastAsia="仿宋" w:cs="仿宋"/>
          <w:sz w:val="32"/>
          <w:szCs w:val="32"/>
          <w:lang w:val="en-US" w:eastAsia="zh-CN"/>
        </w:rPr>
      </w:pPr>
    </w:p>
    <w:p w14:paraId="675DE11C">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25B49758">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响应时间：签订合同后3日内入场，30日内完成服务内容</w:t>
      </w:r>
    </w:p>
    <w:p w14:paraId="3FD701B2">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服务要求：严格按照相关法律法规的要求进行测绘</w:t>
      </w:r>
    </w:p>
    <w:p w14:paraId="522A0EED">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付款方式：成果资料交付并验收后，提供相关票据，90日内支付全款</w:t>
      </w:r>
    </w:p>
    <w:p w14:paraId="102DC8F1">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341BBA68">
      <w:pPr>
        <w:rPr>
          <w:rFonts w:hint="eastAsia" w:ascii="黑体" w:hAnsi="黑体" w:eastAsia="黑体" w:cs="黑体"/>
          <w:lang w:eastAsia="zh-CN"/>
        </w:rPr>
      </w:pPr>
    </w:p>
    <w:p w14:paraId="45896D3B">
      <w:pPr>
        <w:pStyle w:val="3"/>
        <w:rPr>
          <w:rFonts w:hint="eastAsia" w:ascii="黑体" w:hAnsi="黑体" w:eastAsia="黑体" w:cs="黑体"/>
          <w:lang w:eastAsia="zh-CN"/>
        </w:rPr>
      </w:pPr>
    </w:p>
    <w:p w14:paraId="1FED6F53">
      <w:pPr>
        <w:rPr>
          <w:rFonts w:hint="eastAsia" w:ascii="黑体" w:hAnsi="黑体" w:eastAsia="黑体" w:cs="黑体"/>
          <w:lang w:eastAsia="zh-CN"/>
        </w:rPr>
      </w:pPr>
      <w:r>
        <w:rPr>
          <w:rFonts w:hint="eastAsia" w:ascii="黑体" w:hAnsi="黑体" w:eastAsia="黑体" w:cs="黑体"/>
          <w:lang w:eastAsia="zh-CN"/>
        </w:rPr>
        <w:br w:type="page"/>
      </w:r>
    </w:p>
    <w:p w14:paraId="4C773619">
      <w:pPr>
        <w:pStyle w:val="16"/>
        <w:rPr>
          <w:rFonts w:hint="eastAsia" w:ascii="黑体" w:hAnsi="黑体" w:eastAsia="黑体" w:cs="黑体"/>
          <w:lang w:eastAsia="zh-CN"/>
        </w:rPr>
      </w:pPr>
    </w:p>
    <w:p w14:paraId="5335AE7A">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8998" w:type="dxa"/>
        <w:jc w:val="center"/>
        <w:tblLayout w:type="fixed"/>
        <w:tblCellMar>
          <w:top w:w="0" w:type="dxa"/>
          <w:left w:w="108" w:type="dxa"/>
          <w:bottom w:w="0" w:type="dxa"/>
          <w:right w:w="108" w:type="dxa"/>
        </w:tblCellMar>
      </w:tblPr>
      <w:tblGrid>
        <w:gridCol w:w="523"/>
        <w:gridCol w:w="924"/>
        <w:gridCol w:w="777"/>
        <w:gridCol w:w="5883"/>
        <w:gridCol w:w="891"/>
      </w:tblGrid>
      <w:tr w14:paraId="1752BA00">
        <w:tblPrEx>
          <w:tblCellMar>
            <w:top w:w="0" w:type="dxa"/>
            <w:left w:w="108" w:type="dxa"/>
            <w:bottom w:w="0" w:type="dxa"/>
            <w:right w:w="108" w:type="dxa"/>
          </w:tblCellMar>
        </w:tblPrEx>
        <w:trPr>
          <w:cantSplit/>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11CB749E">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61DA18C5">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14F97A5D">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158D33D">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49E397B3">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C02B6C0">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462CFE23">
        <w:tblPrEx>
          <w:tblCellMar>
            <w:top w:w="0" w:type="dxa"/>
            <w:left w:w="108" w:type="dxa"/>
            <w:bottom w:w="0" w:type="dxa"/>
            <w:right w:w="108" w:type="dxa"/>
          </w:tblCellMar>
        </w:tblPrEx>
        <w:trPr>
          <w:trHeight w:val="3076"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1A791FDC">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53681FC9">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F8E84A1">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0E00C760">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满足招标文件要求且投标价格最低的投标报价为评标基准价，其价格分为满分。其他供应商的价格分统一按照下列公式计算：投标报价得分=(评标基准价÷投标报价)×20%×100；</w:t>
            </w:r>
          </w:p>
          <w:p w14:paraId="2EF78188">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注：1.按照《四川省测绘地理信息市场管理办法》（2015年四川省人民政府第301号）第十四条规定，报价明显低于其他投标报价，且不能做出合理说明并提供相关证明材料的，可以依法认定其投标无效。2.本项目专门面向中小企业采购（监狱企业、残疾人福利性单位视同小微企业）不再执行价格扣除政策。3.低于成本报价，以行业标准为准</w:t>
            </w:r>
          </w:p>
          <w:p w14:paraId="2525B7A8">
            <w:pPr>
              <w:rPr>
                <w:rFonts w:hint="eastAsia" w:ascii="仿宋" w:hAnsi="仿宋" w:eastAsia="仿宋" w:cs="仿宋"/>
                <w:kern w:val="1"/>
                <w:sz w:val="32"/>
                <w:szCs w:val="32"/>
                <w:lang w:val="en-US" w:eastAsia="zh-CN"/>
              </w:rPr>
            </w:pP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5A2DA58E">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795ECE3E">
        <w:tblPrEx>
          <w:tblCellMar>
            <w:top w:w="0" w:type="dxa"/>
            <w:left w:w="108" w:type="dxa"/>
            <w:bottom w:w="0" w:type="dxa"/>
            <w:right w:w="108" w:type="dxa"/>
          </w:tblCellMar>
        </w:tblPrEx>
        <w:trPr>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48A007B6">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70DC8546">
            <w:pPr>
              <w:spacing w:line="320" w:lineRule="atLeast"/>
              <w:jc w:val="center"/>
              <w:rPr>
                <w:rFonts w:hint="default" w:ascii="仿宋" w:hAnsi="仿宋" w:eastAsia="仿宋" w:cs="仿宋"/>
                <w:kern w:val="1"/>
                <w:sz w:val="32"/>
                <w:szCs w:val="32"/>
                <w:lang w:val="en-US"/>
              </w:rPr>
            </w:pPr>
            <w:r>
              <w:rPr>
                <w:rFonts w:hint="eastAsia" w:ascii="仿宋" w:hAnsi="仿宋" w:eastAsia="仿宋" w:cs="仿宋"/>
                <w:kern w:val="1"/>
                <w:sz w:val="32"/>
                <w:szCs w:val="32"/>
                <w:lang w:val="en-US" w:eastAsia="zh-CN"/>
              </w:rPr>
              <w:t>人员配置</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DD5E2C6">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15</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5197204C">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1.本项目负责人：具有测绘类专业中级及以上技术职称的得3分；本项最高得3分。</w:t>
            </w:r>
          </w:p>
          <w:p w14:paraId="7680AB32">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2.本项目技术负责人：具有测绘类专业中级及以上技术职称的得3分；本项最高得3分。</w:t>
            </w:r>
          </w:p>
          <w:p w14:paraId="3BB67342">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3.本项目其他人员：每提供一个初级及以上测绘类相关专业技术职称的得3分，本项最高得9分。</w:t>
            </w:r>
          </w:p>
          <w:p w14:paraId="4E197661">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注：提供相应人员的职称证书复印件，劳动证明（劳动合同或社保证明），加盖供应商单位公章，人员不得重复使用（重复人员按最低分值计算），不提供或未按要求提供不得分。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6926BAF0">
            <w:pPr>
              <w:spacing w:line="320" w:lineRule="atLeast"/>
              <w:jc w:val="center"/>
              <w:rPr>
                <w:rFonts w:hint="eastAsia" w:ascii="仿宋" w:hAnsi="仿宋" w:eastAsia="仿宋" w:cs="仿宋"/>
                <w:sz w:val="32"/>
                <w:szCs w:val="32"/>
              </w:rPr>
            </w:pPr>
          </w:p>
        </w:tc>
      </w:tr>
      <w:tr w14:paraId="76988B12">
        <w:tblPrEx>
          <w:tblCellMar>
            <w:top w:w="0" w:type="dxa"/>
            <w:left w:w="108" w:type="dxa"/>
            <w:bottom w:w="0" w:type="dxa"/>
            <w:right w:w="108" w:type="dxa"/>
          </w:tblCellMar>
        </w:tblPrEx>
        <w:trPr>
          <w:trHeight w:val="1711"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487FCF6A">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0E1C8920">
            <w:pPr>
              <w:spacing w:line="320" w:lineRule="atLeast"/>
              <w:jc w:val="center"/>
              <w:rPr>
                <w:rFonts w:hint="eastAsia" w:ascii="仿宋" w:hAnsi="仿宋" w:eastAsia="仿宋" w:cs="仿宋"/>
                <w:sz w:val="32"/>
                <w:szCs w:val="32"/>
              </w:rPr>
            </w:pPr>
          </w:p>
          <w:p w14:paraId="05377DEB">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sz w:val="32"/>
                <w:szCs w:val="32"/>
              </w:rPr>
              <w:t>服务</w:t>
            </w:r>
            <w:r>
              <w:rPr>
                <w:rFonts w:hint="eastAsia" w:ascii="仿宋" w:hAnsi="仿宋" w:eastAsia="仿宋" w:cs="仿宋"/>
                <w:kern w:val="1"/>
                <w:sz w:val="32"/>
                <w:szCs w:val="32"/>
                <w:lang w:val="en-US" w:eastAsia="zh-CN"/>
              </w:rPr>
              <w:t>方案</w:t>
            </w:r>
          </w:p>
          <w:p w14:paraId="55B3AFD1">
            <w:pPr>
              <w:spacing w:line="320" w:lineRule="atLeast"/>
              <w:jc w:val="center"/>
              <w:rPr>
                <w:rFonts w:hint="eastAsia" w:ascii="仿宋" w:hAnsi="仿宋" w:eastAsia="仿宋" w:cs="仿宋"/>
                <w:sz w:val="32"/>
                <w:szCs w:val="32"/>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75EAB4D1">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60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0A711F81">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供应商提供针对本项目服务要求和商务要求拟定服务方案包括：①采购需求分析；②项目工作重点、难点分析及解决方案；③项目实施方案；④组织机构及人员管理⑤进度控制、技术保障及安全保障措施；⑥成果质量保障措施；⑦成果保密措施；⑧后续服务方案；⑨测绘相关制度及档案资料管理⑩应急预案。涵盖以上10项内容且不存在缺陷得60分，在此基础上，每缺少一项内容扣6分，每有一处内容存在缺陷扣3分，每有一项内容错误的扣1.5分，扣完为止。（“内容存在缺陷”是指：①本项目提供的方案中引用法律法规、规范、标准或其他规范性文件存在失效或错误；②非专门针对本项目或内容与本项目需求无关；③复制或套用其他项目内容；④照搬采购需求且未作出进一步描述；以上任意一种情形。）</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CF9A00D">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14:paraId="1878E5DF">
        <w:tblPrEx>
          <w:tblCellMar>
            <w:top w:w="0" w:type="dxa"/>
            <w:left w:w="108" w:type="dxa"/>
            <w:bottom w:w="0" w:type="dxa"/>
            <w:right w:w="108" w:type="dxa"/>
          </w:tblCellMar>
        </w:tblPrEx>
        <w:trPr>
          <w:trHeight w:val="1055"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65F5EF57">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121CF354">
            <w:pPr>
              <w:spacing w:line="320" w:lineRule="atLeas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业绩</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C0FF070">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15</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2E3EAD2C">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提供近三年完成的房产测绘项目合同扫描件，每提供一个得3分，最高15分。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5266EA64">
            <w:pPr>
              <w:spacing w:line="320" w:lineRule="atLeast"/>
              <w:jc w:val="center"/>
              <w:rPr>
                <w:rFonts w:hint="eastAsia" w:ascii="仿宋" w:hAnsi="仿宋" w:eastAsia="仿宋" w:cs="仿宋"/>
                <w:sz w:val="32"/>
                <w:szCs w:val="32"/>
              </w:rPr>
            </w:pPr>
          </w:p>
        </w:tc>
      </w:tr>
    </w:tbl>
    <w:p w14:paraId="56A884EA">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1134" w:bottom="1077" w:left="1361" w:header="680" w:footer="680"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2941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13AE3">
                          <w:pPr>
                            <w:pStyle w:val="1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B13AE3">
                    <w:pPr>
                      <w:pStyle w:val="1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C2D4">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75A2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C75A2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1F18">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FA6C">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99C0C65"/>
    <w:rsid w:val="09CF2980"/>
    <w:rsid w:val="09D849D4"/>
    <w:rsid w:val="0A5766D2"/>
    <w:rsid w:val="0B481B96"/>
    <w:rsid w:val="0B5B6EA7"/>
    <w:rsid w:val="0B9B184D"/>
    <w:rsid w:val="0BBF2600"/>
    <w:rsid w:val="0C3E61B9"/>
    <w:rsid w:val="0D6B406F"/>
    <w:rsid w:val="0DA12370"/>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81471B0"/>
    <w:rsid w:val="182F44F3"/>
    <w:rsid w:val="184E41FF"/>
    <w:rsid w:val="1865790E"/>
    <w:rsid w:val="189E6B7E"/>
    <w:rsid w:val="18E41C4F"/>
    <w:rsid w:val="18EA25BB"/>
    <w:rsid w:val="193B3817"/>
    <w:rsid w:val="19497A6B"/>
    <w:rsid w:val="1998123A"/>
    <w:rsid w:val="19C421FA"/>
    <w:rsid w:val="19DF1744"/>
    <w:rsid w:val="1A8B6B5A"/>
    <w:rsid w:val="1AF5353D"/>
    <w:rsid w:val="1B493578"/>
    <w:rsid w:val="1B5723EF"/>
    <w:rsid w:val="1B93321C"/>
    <w:rsid w:val="1BAD400C"/>
    <w:rsid w:val="1C380FAC"/>
    <w:rsid w:val="1C80448C"/>
    <w:rsid w:val="1D3958CF"/>
    <w:rsid w:val="1DE81A96"/>
    <w:rsid w:val="1E4521C9"/>
    <w:rsid w:val="1EC85776"/>
    <w:rsid w:val="1F0B1E38"/>
    <w:rsid w:val="1F176598"/>
    <w:rsid w:val="1F782175"/>
    <w:rsid w:val="1FFB4E00"/>
    <w:rsid w:val="200C1DCC"/>
    <w:rsid w:val="2024443A"/>
    <w:rsid w:val="20B62B46"/>
    <w:rsid w:val="20B86F62"/>
    <w:rsid w:val="20DA469D"/>
    <w:rsid w:val="21141E9E"/>
    <w:rsid w:val="219C0935"/>
    <w:rsid w:val="219C0C5F"/>
    <w:rsid w:val="223E3923"/>
    <w:rsid w:val="22CD72A0"/>
    <w:rsid w:val="22DC6C27"/>
    <w:rsid w:val="230709BE"/>
    <w:rsid w:val="2333299E"/>
    <w:rsid w:val="23B92E0F"/>
    <w:rsid w:val="245C589E"/>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571F3F"/>
    <w:rsid w:val="2A6F6F5A"/>
    <w:rsid w:val="2A752D03"/>
    <w:rsid w:val="2A954942"/>
    <w:rsid w:val="2AB4580B"/>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715851"/>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A0A5821"/>
    <w:rsid w:val="3ADC539A"/>
    <w:rsid w:val="3AE30FAC"/>
    <w:rsid w:val="3B3A67B9"/>
    <w:rsid w:val="3B572D45"/>
    <w:rsid w:val="3B65061B"/>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A92068D"/>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493A"/>
    <w:rsid w:val="54F554AC"/>
    <w:rsid w:val="551A0D5D"/>
    <w:rsid w:val="55EE4C06"/>
    <w:rsid w:val="561A148B"/>
    <w:rsid w:val="565B213D"/>
    <w:rsid w:val="56773B8D"/>
    <w:rsid w:val="56D444B4"/>
    <w:rsid w:val="572D0183"/>
    <w:rsid w:val="57567F4A"/>
    <w:rsid w:val="57667B7B"/>
    <w:rsid w:val="578D66D2"/>
    <w:rsid w:val="580A2903"/>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55E89"/>
    <w:rsid w:val="5CC74DB0"/>
    <w:rsid w:val="5DA41796"/>
    <w:rsid w:val="5DC167D7"/>
    <w:rsid w:val="5F0E08C6"/>
    <w:rsid w:val="5F5075CA"/>
    <w:rsid w:val="5F7007A2"/>
    <w:rsid w:val="5F85487D"/>
    <w:rsid w:val="5FB650D9"/>
    <w:rsid w:val="6096215E"/>
    <w:rsid w:val="609832E7"/>
    <w:rsid w:val="626070DF"/>
    <w:rsid w:val="62B86D17"/>
    <w:rsid w:val="62C824CA"/>
    <w:rsid w:val="635F68CB"/>
    <w:rsid w:val="63B75450"/>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CF4DB4"/>
    <w:rsid w:val="69F16575"/>
    <w:rsid w:val="69FE6269"/>
    <w:rsid w:val="6B110ED0"/>
    <w:rsid w:val="6B3D74AC"/>
    <w:rsid w:val="6BF5199F"/>
    <w:rsid w:val="6C81461E"/>
    <w:rsid w:val="6CE610BF"/>
    <w:rsid w:val="6CED312F"/>
    <w:rsid w:val="6CF2654E"/>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802750"/>
    <w:rsid w:val="74D379E1"/>
    <w:rsid w:val="74F82EAA"/>
    <w:rsid w:val="75457DB7"/>
    <w:rsid w:val="7563067A"/>
    <w:rsid w:val="75E55D62"/>
    <w:rsid w:val="76466533"/>
    <w:rsid w:val="77F97E1C"/>
    <w:rsid w:val="780C3182"/>
    <w:rsid w:val="785111E8"/>
    <w:rsid w:val="78E831F4"/>
    <w:rsid w:val="79AC141B"/>
    <w:rsid w:val="79B51E35"/>
    <w:rsid w:val="79EA27D4"/>
    <w:rsid w:val="7AE23540"/>
    <w:rsid w:val="7C29457B"/>
    <w:rsid w:val="7CE9423F"/>
    <w:rsid w:val="7D9A1A1C"/>
    <w:rsid w:val="7E163DF2"/>
    <w:rsid w:val="7E1D587C"/>
    <w:rsid w:val="7E1E62DD"/>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15</Pages>
  <Words>4864</Words>
  <Characters>4991</Characters>
  <Lines>0</Lines>
  <Paragraphs>0</Paragraphs>
  <TotalTime>0</TotalTime>
  <ScaleCrop>false</ScaleCrop>
  <LinksUpToDate>false</LinksUpToDate>
  <CharactersWithSpaces>5181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D</cp:lastModifiedBy>
  <cp:lastPrinted>2019-09-23T08:20:00Z</cp:lastPrinted>
  <dcterms:modified xsi:type="dcterms:W3CDTF">2025-01-03T03:24:04Z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E55B9419BEC340ACB82BD1F4D3D5163D_13</vt:lpwstr>
  </property>
  <property fmtid="{D5CDD505-2E9C-101B-9397-08002B2CF9AE}" pid="4" name="KSOTemplateDocerSaveRecord">
    <vt:lpwstr>eyJoZGlkIjoiYjJmZmFmMGFkNTkxMTc3Y2Q4ODdmNWVhNTFmYjU5MjciLCJ1c2VySWQiOiIxMjE4MTQ0Nzk4In0=</vt:lpwstr>
  </property>
</Properties>
</file>