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A2787">
      <w:pPr>
        <w:jc w:val="center"/>
        <w:rPr>
          <w:rFonts w:hint="eastAsia" w:ascii="黑体" w:hAnsi="黑体" w:eastAsia="黑体" w:cs="黑体"/>
          <w:color w:val="auto"/>
          <w:sz w:val="36"/>
          <w:szCs w:val="36"/>
          <w:lang w:eastAsia="zh-CN"/>
        </w:rPr>
      </w:pPr>
      <w:r>
        <w:rPr>
          <w:rFonts w:hint="eastAsia" w:ascii="黑体" w:hAnsi="黑体" w:eastAsia="黑体" w:cs="黑体"/>
          <w:color w:val="auto"/>
          <w:sz w:val="36"/>
          <w:szCs w:val="36"/>
          <w:lang w:eastAsia="zh-CN"/>
        </w:rPr>
        <w:t>第一章</w:t>
      </w:r>
      <w:r>
        <w:rPr>
          <w:rFonts w:hint="eastAsia" w:ascii="黑体" w:hAnsi="黑体" w:eastAsia="黑体" w:cs="黑体"/>
          <w:color w:val="auto"/>
          <w:sz w:val="36"/>
          <w:szCs w:val="36"/>
          <w:lang w:val="en-US" w:eastAsia="zh-CN"/>
        </w:rPr>
        <w:t xml:space="preserve">  </w:t>
      </w:r>
      <w:r>
        <w:rPr>
          <w:rFonts w:hint="eastAsia" w:ascii="黑体" w:hAnsi="黑体" w:eastAsia="黑体" w:cs="黑体"/>
          <w:color w:val="auto"/>
          <w:sz w:val="36"/>
          <w:szCs w:val="36"/>
          <w:lang w:eastAsia="zh-CN"/>
        </w:rPr>
        <w:t>乐山市五通桥区人民医院院内采购公告</w:t>
      </w:r>
    </w:p>
    <w:p w14:paraId="7E40A9DF">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auto"/>
          <w:kern w:val="0"/>
          <w:sz w:val="28"/>
          <w:szCs w:val="28"/>
          <w:lang w:eastAsia="zh-CN"/>
        </w:rPr>
      </w:pPr>
    </w:p>
    <w:p w14:paraId="52CBC63B">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采购项目名称：洗涤用品</w:t>
      </w:r>
    </w:p>
    <w:p w14:paraId="5407005E">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eastAsia="zh-CN"/>
        </w:rPr>
        <w:t>项目采购编号：</w:t>
      </w:r>
      <w:r>
        <w:rPr>
          <w:rFonts w:hint="eastAsia" w:ascii="仿宋" w:hAnsi="仿宋" w:eastAsia="仿宋" w:cs="仿宋"/>
          <w:color w:val="auto"/>
          <w:kern w:val="0"/>
          <w:sz w:val="32"/>
          <w:szCs w:val="32"/>
          <w:lang w:val="en-US" w:eastAsia="zh-CN"/>
        </w:rPr>
        <w:t xml:space="preserve">YNCG2025004    </w:t>
      </w:r>
    </w:p>
    <w:p w14:paraId="504BE74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1280" w:firstLineChars="4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采购项目内容（详细要求请看附件）：</w:t>
      </w:r>
    </w:p>
    <w:p w14:paraId="4A475AD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二、参加采购的供应商数量：三家及以上；在乐山市五通桥区人民医院官方网站上发布公告（https://www.wtqqrmyy.cn/）；本项目若有补遗或更正公告会在官网上发布，请参加采购的供应商随时关注；若因以上原因造成的损失由供应商自行负责。</w:t>
      </w:r>
    </w:p>
    <w:p w14:paraId="0C48E796">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lang w:eastAsia="zh-CN"/>
        </w:rPr>
        <w:t>、供应商参加本次采购活动</w:t>
      </w:r>
      <w:r>
        <w:rPr>
          <w:rFonts w:hint="eastAsia" w:ascii="仿宋" w:hAnsi="仿宋" w:eastAsia="仿宋" w:cs="仿宋"/>
          <w:color w:val="auto"/>
          <w:kern w:val="0"/>
          <w:sz w:val="32"/>
          <w:szCs w:val="32"/>
          <w:lang w:val="en-US" w:eastAsia="zh-CN"/>
        </w:rPr>
        <w:t>需要</w:t>
      </w:r>
      <w:r>
        <w:rPr>
          <w:rFonts w:hint="eastAsia" w:ascii="仿宋" w:hAnsi="仿宋" w:eastAsia="仿宋" w:cs="仿宋"/>
          <w:color w:val="auto"/>
          <w:kern w:val="0"/>
          <w:sz w:val="32"/>
          <w:szCs w:val="32"/>
          <w:lang w:eastAsia="zh-CN"/>
        </w:rPr>
        <w:t>提交的资料：</w:t>
      </w:r>
    </w:p>
    <w:p w14:paraId="3DB55AE9">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潜在响应供应商可直接从本公告的附件中下载相关文件（如对文件有异议，应在本公告的有效时间电话询问或以书面提出合理质疑。公告到期后未收到书面质疑，视为潜在供应商认同文件的全部内容，采购办不再受理响应供应商对采购公告或相关文件的质疑。）</w:t>
      </w:r>
    </w:p>
    <w:p w14:paraId="783C53A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2.提交资料应按照采购文件中的承诺函、廉洁承诺书、采购资质要求、技术及商务要求提供2套。</w:t>
      </w:r>
    </w:p>
    <w:p w14:paraId="620E643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3.报价以及资料，采购响应文件封面请注明项目名称、联系人、联系电话、自行密封并加盖公章。</w:t>
      </w:r>
    </w:p>
    <w:p w14:paraId="363A635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4.请满足上述资质要求的供应商于2024年3月28</w:t>
      </w:r>
      <w:bookmarkStart w:id="16" w:name="_GoBack"/>
      <w:bookmarkEnd w:id="16"/>
      <w:r>
        <w:rPr>
          <w:rFonts w:hint="eastAsia" w:ascii="仿宋" w:hAnsi="仿宋" w:eastAsia="仿宋" w:cs="仿宋"/>
          <w:color w:val="auto"/>
          <w:kern w:val="0"/>
          <w:sz w:val="32"/>
          <w:szCs w:val="32"/>
          <w:lang w:val="en-US" w:eastAsia="zh-CN"/>
        </w:rPr>
        <w:t>日17:00之前将资料送至乐山市五通桥区人民医院采购办（行政楼三楼楼梯处），在截至时间以后送到的响应文件将被拒绝并退还给供应商。</w:t>
      </w:r>
    </w:p>
    <w:p w14:paraId="6E635C9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四、其他要求（参加采购的供应商视为全部接受以下条款）</w:t>
      </w:r>
    </w:p>
    <w:p w14:paraId="70BFA8F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1.方案报价在30日内有效，报价包括供应商履约过程中的服务费、人工、差旅、保险、税金与供应商履约所需要的其他所有费用。</w:t>
      </w:r>
    </w:p>
    <w:p w14:paraId="2DF64BFA">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最低价（一次报价），中标结果由医院网站公示，中标公司请在公示后30日内到采购办签订合同，超过公示后30日不响应签订合同的视为放弃中标资格，放弃中标资格或因不可抗力提出不能履行合同的，将按照排名先后顺序依次替补或重新招采。</w:t>
      </w:r>
    </w:p>
    <w:p w14:paraId="1F96F765">
      <w:pPr>
        <w:pStyle w:val="16"/>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3.本项目不接受联合体，不允许分包。</w:t>
      </w:r>
    </w:p>
    <w:p w14:paraId="77572E2E">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龙</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lang w:val="en-US" w:eastAsia="zh-CN"/>
        </w:rPr>
        <w:t xml:space="preserve">(采购办)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val="en-US" w:eastAsia="zh-CN"/>
        </w:rPr>
        <w:t>0833-3211269</w:t>
      </w:r>
    </w:p>
    <w:p w14:paraId="6E25487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张</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lang w:val="en-US" w:eastAsia="zh-CN"/>
        </w:rPr>
        <w:t xml:space="preserve">(物管科) </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val="en-US" w:eastAsia="zh-CN"/>
        </w:rPr>
        <w:t>0833-3211269</w:t>
      </w:r>
    </w:p>
    <w:p w14:paraId="17D6BD68">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p>
    <w:p w14:paraId="3C3A5DEF">
      <w:pPr>
        <w:rPr>
          <w:rFonts w:hint="eastAsia" w:ascii="黑体" w:hAnsi="黑体" w:eastAsia="黑体" w:cs="黑体"/>
          <w:b/>
          <w:color w:val="auto"/>
          <w:sz w:val="36"/>
          <w:szCs w:val="36"/>
          <w:lang w:eastAsia="zh-CN"/>
        </w:rPr>
      </w:pPr>
      <w:r>
        <w:rPr>
          <w:rFonts w:hint="eastAsia" w:ascii="黑体" w:hAnsi="黑体" w:eastAsia="黑体" w:cs="黑体"/>
          <w:b/>
          <w:color w:val="auto"/>
          <w:sz w:val="36"/>
          <w:szCs w:val="36"/>
          <w:lang w:eastAsia="zh-CN"/>
        </w:rPr>
        <w:br w:type="page"/>
      </w:r>
    </w:p>
    <w:p w14:paraId="0C005918">
      <w:pPr>
        <w:pStyle w:val="5"/>
        <w:jc w:val="center"/>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第二章  采购须知</w:t>
      </w:r>
    </w:p>
    <w:p w14:paraId="4A68482B">
      <w:pPr>
        <w:pStyle w:val="30"/>
        <w:spacing w:line="240" w:lineRule="auto"/>
        <w:rPr>
          <w:rFonts w:hint="eastAsia"/>
          <w:color w:val="auto"/>
          <w:lang w:eastAsia="zh-CN"/>
        </w:rPr>
      </w:pPr>
    </w:p>
    <w:p w14:paraId="752D63B9">
      <w:pPr>
        <w:spacing w:line="240" w:lineRule="auto"/>
        <w:ind w:firstLine="643" w:firstLineChars="2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一、院内采购总则</w:t>
      </w:r>
    </w:p>
    <w:p w14:paraId="47C86D68">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项目参照《中华人民共和国政府采购法》《四川省政府采购非招标采购方式实施办法》等有关法律、法规和规章，通过</w:t>
      </w:r>
      <w:r>
        <w:rPr>
          <w:rFonts w:hint="eastAsia" w:ascii="仿宋" w:hAnsi="仿宋" w:eastAsia="仿宋" w:cs="仿宋"/>
          <w:color w:val="auto"/>
          <w:sz w:val="32"/>
          <w:szCs w:val="32"/>
          <w:lang w:eastAsia="zh-CN"/>
        </w:rPr>
        <w:t>最低价</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方式确定成交供应商。</w:t>
      </w:r>
    </w:p>
    <w:p w14:paraId="3B6BCC48">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本项目</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范围包括价格、质量、服务等方面内容，交货时间在合同中约定。</w:t>
      </w:r>
    </w:p>
    <w:p w14:paraId="411BB50B">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本采购项目最低要求：符合资质条件、技术参数及商务要求且报价不超过最高限价。</w:t>
      </w:r>
    </w:p>
    <w:p w14:paraId="04614F0E">
      <w:pPr>
        <w:numPr>
          <w:ilvl w:val="0"/>
          <w:numId w:val="0"/>
        </w:num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供应商自行承担本项目</w:t>
      </w:r>
      <w:r>
        <w:rPr>
          <w:rFonts w:hint="eastAsia" w:ascii="仿宋" w:hAnsi="仿宋" w:eastAsia="仿宋" w:cs="仿宋"/>
          <w:color w:val="auto"/>
          <w:sz w:val="32"/>
          <w:szCs w:val="32"/>
          <w:lang w:val="en-US" w:eastAsia="zh-CN"/>
        </w:rPr>
        <w:t>采购</w:t>
      </w:r>
      <w:r>
        <w:rPr>
          <w:rFonts w:hint="eastAsia" w:ascii="仿宋" w:hAnsi="仿宋" w:eastAsia="仿宋" w:cs="仿宋"/>
          <w:color w:val="auto"/>
          <w:sz w:val="32"/>
          <w:szCs w:val="32"/>
        </w:rPr>
        <w:t>活动所发生</w:t>
      </w:r>
      <w:r>
        <w:rPr>
          <w:rFonts w:hint="eastAsia" w:ascii="仿宋" w:hAnsi="仿宋" w:eastAsia="仿宋" w:cs="仿宋"/>
          <w:color w:val="auto"/>
          <w:sz w:val="32"/>
          <w:szCs w:val="32"/>
          <w:lang w:eastAsia="zh-CN"/>
        </w:rPr>
        <w:t>现场踏勘、标书制作等</w:t>
      </w:r>
      <w:r>
        <w:rPr>
          <w:rFonts w:hint="eastAsia" w:ascii="仿宋" w:hAnsi="仿宋" w:eastAsia="仿宋" w:cs="仿宋"/>
          <w:color w:val="auto"/>
          <w:sz w:val="32"/>
          <w:szCs w:val="32"/>
        </w:rPr>
        <w:t>费用。</w:t>
      </w:r>
    </w:p>
    <w:p w14:paraId="57FEB435">
      <w:pPr>
        <w:spacing w:line="24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w:t>
      </w: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响应文件的编制</w:t>
      </w:r>
    </w:p>
    <w:p w14:paraId="3D9AA500">
      <w:pPr>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响应文件的密封：须提供标书一份，密封于一个包装袋内，封口处加盖单位鲜章，封面须注明：“项目名称：        ”，“项目编号：     ”，“于   年  月  日  时  分前不得拆封”等字样。未按询价文件要求密封的响应文件将被拒收。</w:t>
      </w:r>
    </w:p>
    <w:p w14:paraId="499EFADB">
      <w:pPr>
        <w:spacing w:line="24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w:t>
      </w:r>
      <w:r>
        <w:rPr>
          <w:rFonts w:hint="eastAsia" w:ascii="仿宋" w:hAnsi="仿宋" w:eastAsia="仿宋" w:cs="仿宋"/>
          <w:color w:val="auto"/>
          <w:sz w:val="32"/>
          <w:szCs w:val="32"/>
          <w:lang w:eastAsia="zh-CN"/>
        </w:rPr>
        <w:t>分正（副）本装订</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一正</w:t>
      </w:r>
      <w:r>
        <w:rPr>
          <w:rFonts w:hint="eastAsia" w:ascii="仿宋" w:hAnsi="仿宋" w:eastAsia="仿宋" w:cs="仿宋"/>
          <w:color w:val="auto"/>
          <w:sz w:val="32"/>
          <w:szCs w:val="32"/>
          <w:lang w:val="en-US" w:eastAsia="zh-Hans"/>
        </w:rPr>
        <w:t>一</w:t>
      </w:r>
      <w:r>
        <w:rPr>
          <w:rFonts w:hint="eastAsia" w:ascii="仿宋" w:hAnsi="仿宋" w:eastAsia="仿宋" w:cs="仿宋"/>
          <w:color w:val="auto"/>
          <w:sz w:val="32"/>
          <w:szCs w:val="32"/>
          <w:lang w:eastAsia="zh-CN"/>
        </w:rPr>
        <w:t>副，</w:t>
      </w:r>
      <w:r>
        <w:rPr>
          <w:rFonts w:hint="eastAsia" w:ascii="仿宋" w:hAnsi="仿宋" w:eastAsia="仿宋" w:cs="仿宋"/>
          <w:color w:val="auto"/>
          <w:sz w:val="32"/>
          <w:szCs w:val="32"/>
        </w:rPr>
        <w:t>须用A4幅面纸张打印装订</w:t>
      </w:r>
      <w:r>
        <w:rPr>
          <w:rFonts w:hint="eastAsia" w:ascii="仿宋" w:hAnsi="仿宋" w:eastAsia="仿宋" w:cs="仿宋"/>
          <w:color w:val="auto"/>
          <w:sz w:val="32"/>
          <w:szCs w:val="32"/>
          <w:lang w:eastAsia="zh-CN"/>
        </w:rPr>
        <w:t>。</w:t>
      </w:r>
    </w:p>
    <w:p w14:paraId="7023D98A">
      <w:pPr>
        <w:spacing w:line="240" w:lineRule="auto"/>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响应文件的打印和书写应清楚工整，签字确认并加盖公章，否则无效。供应商为法人的，应当由其法定代表人或者代理人签字确认。</w:t>
      </w:r>
    </w:p>
    <w:p w14:paraId="6981F7BD">
      <w:pPr>
        <w:spacing w:line="24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院内采购</w:t>
      </w:r>
      <w:r>
        <w:rPr>
          <w:rFonts w:hint="eastAsia" w:ascii="仿宋" w:hAnsi="仿宋" w:eastAsia="仿宋" w:cs="仿宋"/>
          <w:b/>
          <w:bCs/>
          <w:color w:val="auto"/>
          <w:sz w:val="32"/>
          <w:szCs w:val="32"/>
        </w:rPr>
        <w:t>会议的召开</w:t>
      </w:r>
    </w:p>
    <w:p w14:paraId="5CC7BC4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color w:val="auto"/>
          <w:sz w:val="32"/>
          <w:szCs w:val="32"/>
        </w:rPr>
      </w:pPr>
      <w:r>
        <w:rPr>
          <w:rFonts w:hint="eastAsia" w:ascii="仿宋" w:hAnsi="仿宋" w:eastAsia="仿宋" w:cs="仿宋"/>
          <w:b/>
          <w:color w:val="auto"/>
          <w:sz w:val="32"/>
          <w:szCs w:val="32"/>
        </w:rPr>
        <w:t xml:space="preserve">  </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lang w:eastAsia="zh-CN"/>
        </w:rPr>
        <w:t>院内采购</w:t>
      </w:r>
      <w:r>
        <w:rPr>
          <w:rFonts w:hint="eastAsia" w:ascii="仿宋" w:hAnsi="仿宋" w:eastAsia="仿宋" w:cs="仿宋"/>
          <w:color w:val="auto"/>
          <w:sz w:val="32"/>
          <w:szCs w:val="32"/>
        </w:rPr>
        <w:t>会议顺序:</w:t>
      </w:r>
    </w:p>
    <w:p w14:paraId="16780D8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院内采购</w:t>
      </w:r>
      <w:r>
        <w:rPr>
          <w:rFonts w:hint="eastAsia" w:ascii="仿宋" w:hAnsi="仿宋" w:eastAsia="仿宋" w:cs="仿宋"/>
          <w:color w:val="auto"/>
          <w:sz w:val="32"/>
          <w:szCs w:val="32"/>
        </w:rPr>
        <w:t>由</w:t>
      </w: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主持；</w:t>
      </w:r>
    </w:p>
    <w:p w14:paraId="411BA029">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由监督人员检查</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响应文件密封情况；</w:t>
      </w:r>
    </w:p>
    <w:p w14:paraId="3B27866B">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将符合密封要求的资格、技术商务、报价</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文件送</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小组评审；</w:t>
      </w:r>
    </w:p>
    <w:p w14:paraId="0BF2A081">
      <w:pPr>
        <w:pStyle w:val="7"/>
        <w:spacing w:line="240" w:lineRule="auto"/>
        <w:ind w:left="0" w:leftChars="0" w:firstLine="640" w:firstLineChars="20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结束后，由</w:t>
      </w:r>
      <w:r>
        <w:rPr>
          <w:rFonts w:hint="eastAsia" w:ascii="仿宋" w:hAnsi="仿宋" w:eastAsia="仿宋" w:cs="仿宋"/>
          <w:color w:val="auto"/>
          <w:sz w:val="32"/>
          <w:szCs w:val="32"/>
          <w:lang w:eastAsia="zh-CN"/>
        </w:rPr>
        <w:t>评审小组根据报价情况</w:t>
      </w:r>
      <w:r>
        <w:rPr>
          <w:rFonts w:hint="eastAsia" w:ascii="仿宋" w:hAnsi="仿宋" w:eastAsia="仿宋" w:cs="仿宋"/>
          <w:color w:val="auto"/>
          <w:sz w:val="32"/>
          <w:szCs w:val="32"/>
        </w:rPr>
        <w:t>，</w:t>
      </w:r>
      <w:r>
        <w:rPr>
          <w:rFonts w:hint="eastAsia" w:ascii="仿宋" w:hAnsi="仿宋" w:eastAsia="仿宋" w:cs="仿宋"/>
          <w:color w:val="auto"/>
          <w:sz w:val="32"/>
          <w:szCs w:val="32"/>
          <w:shd w:val="clear" w:color="auto" w:fill="auto"/>
        </w:rPr>
        <w:t>推荐成交候选供应商。</w:t>
      </w:r>
    </w:p>
    <w:p w14:paraId="2B386358">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、质疑提出与答复</w:t>
      </w:r>
    </w:p>
    <w:p w14:paraId="28EDF90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供应商对采购文件中资格、技术、商务要求以及对采购文件编制、采购程序的询问或质疑，可以电话进行询问或以书面形式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color w:val="auto"/>
          <w:sz w:val="32"/>
          <w:szCs w:val="32"/>
          <w:lang w:val="zh-CN" w:eastAsia="zh-CN"/>
        </w:rPr>
        <w:t>受理联系人及联系方式见公告</w:t>
      </w:r>
      <w:r>
        <w:rPr>
          <w:rFonts w:hint="eastAsia" w:ascii="仿宋" w:hAnsi="仿宋" w:eastAsia="仿宋" w:cs="仿宋"/>
          <w:color w:val="auto"/>
          <w:sz w:val="32"/>
          <w:szCs w:val="32"/>
          <w:lang w:val="en-US" w:eastAsia="zh-CN"/>
        </w:rPr>
        <w:t>采购办</w:t>
      </w:r>
      <w:r>
        <w:rPr>
          <w:rFonts w:hint="eastAsia" w:ascii="仿宋" w:hAnsi="仿宋" w:eastAsia="仿宋" w:cs="仿宋"/>
          <w:color w:val="auto"/>
          <w:sz w:val="32"/>
          <w:szCs w:val="32"/>
          <w:lang w:val="zh-CN" w:eastAsia="zh-CN"/>
        </w:rPr>
        <w:t>联系人。</w:t>
      </w:r>
    </w:p>
    <w:p w14:paraId="587B39DC">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14:paraId="3A13245A">
      <w:pPr>
        <w:pStyle w:val="5"/>
        <w:jc w:val="center"/>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第三章  采购程序和成交标准</w:t>
      </w:r>
    </w:p>
    <w:p w14:paraId="2F8001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p>
    <w:p w14:paraId="2E0F0D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将根据</w:t>
      </w:r>
      <w:r>
        <w:rPr>
          <w:rFonts w:hint="eastAsia" w:ascii="仿宋" w:hAnsi="仿宋" w:eastAsia="仿宋" w:cs="仿宋"/>
          <w:color w:val="auto"/>
          <w:sz w:val="32"/>
          <w:szCs w:val="32"/>
          <w:lang w:eastAsia="zh-CN"/>
        </w:rPr>
        <w:t>采购邀请</w:t>
      </w:r>
      <w:r>
        <w:rPr>
          <w:rFonts w:hint="eastAsia" w:ascii="仿宋" w:hAnsi="仿宋" w:eastAsia="仿宋" w:cs="仿宋"/>
          <w:color w:val="auto"/>
          <w:sz w:val="32"/>
          <w:szCs w:val="32"/>
        </w:rPr>
        <w:t>中规定的递交文件截止时间前接受供应商响应文件，并按以下程序组织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w:t>
      </w:r>
    </w:p>
    <w:p w14:paraId="77FB99CA">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一、组织</w:t>
      </w:r>
      <w:r>
        <w:rPr>
          <w:rFonts w:hint="eastAsia" w:ascii="仿宋" w:hAnsi="仿宋" w:eastAsia="仿宋" w:cs="仿宋"/>
          <w:color w:val="auto"/>
          <w:sz w:val="32"/>
          <w:szCs w:val="32"/>
          <w:lang w:eastAsia="zh-CN"/>
        </w:rPr>
        <w:t>采购评审</w:t>
      </w:r>
      <w:r>
        <w:rPr>
          <w:rFonts w:hint="eastAsia" w:ascii="仿宋" w:hAnsi="仿宋" w:eastAsia="仿宋" w:cs="仿宋"/>
          <w:color w:val="auto"/>
          <w:sz w:val="32"/>
          <w:szCs w:val="32"/>
        </w:rPr>
        <w:t>对供应商递交的响应文件进行资格审查和符合性审查。</w:t>
      </w:r>
    </w:p>
    <w:p w14:paraId="36490283">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二、通过资格审查和符合性审查供应商数量不足三家的，本次采购活动终止。</w:t>
      </w:r>
    </w:p>
    <w:p w14:paraId="21B4DEE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出现但不限于下列情况之一的，其响应文件将被视为无效文件不予通过资格审查和符合性审查：</w:t>
      </w:r>
    </w:p>
    <w:p w14:paraId="2D1FE5C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资格不符合要求的；</w:t>
      </w:r>
    </w:p>
    <w:p w14:paraId="44EE35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响应文件未实质性响应</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文件要求的；</w:t>
      </w:r>
    </w:p>
    <w:p w14:paraId="04AF290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响应文件无法定代表人签字，或签字人未被法定代表人授权的</w:t>
      </w:r>
      <w:r>
        <w:rPr>
          <w:rFonts w:hint="eastAsia" w:ascii="仿宋" w:hAnsi="仿宋" w:eastAsia="仿宋" w:cs="仿宋"/>
          <w:color w:val="auto"/>
          <w:sz w:val="32"/>
          <w:szCs w:val="32"/>
          <w:lang w:eastAsia="zh-CN"/>
        </w:rPr>
        <w:t>；</w:t>
      </w:r>
    </w:p>
    <w:p w14:paraId="466F1D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所报总价超出项目预算且无法支付的；</w:t>
      </w:r>
    </w:p>
    <w:p w14:paraId="2FB8F3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kern w:val="0"/>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不同</w:t>
      </w:r>
      <w:r>
        <w:rPr>
          <w:rFonts w:hint="eastAsia" w:ascii="仿宋" w:hAnsi="仿宋" w:eastAsia="仿宋" w:cs="仿宋"/>
          <w:color w:val="auto"/>
          <w:kern w:val="0"/>
          <w:sz w:val="32"/>
          <w:szCs w:val="32"/>
        </w:rPr>
        <w:t>供应商负责人为同一人或者存在直接控股、管理关系的；</w:t>
      </w:r>
    </w:p>
    <w:p w14:paraId="70D37B4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负偏离。</w:t>
      </w:r>
    </w:p>
    <w:p w14:paraId="68C4AF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的任何一方不得透露与</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有关的其他供应商的技术资料、价格和其他信息。</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轮次一般为一轮（评审</w:t>
      </w:r>
      <w:r>
        <w:rPr>
          <w:rFonts w:hint="eastAsia" w:ascii="仿宋" w:hAnsi="仿宋" w:eastAsia="仿宋" w:cs="仿宋"/>
          <w:color w:val="auto"/>
          <w:sz w:val="32"/>
          <w:szCs w:val="32"/>
          <w:lang w:eastAsia="zh-CN"/>
        </w:rPr>
        <w:t>小组</w:t>
      </w:r>
      <w:r>
        <w:rPr>
          <w:rFonts w:hint="eastAsia" w:ascii="仿宋" w:hAnsi="仿宋" w:eastAsia="仿宋" w:cs="仿宋"/>
          <w:color w:val="auto"/>
          <w:sz w:val="32"/>
          <w:szCs w:val="32"/>
        </w:rPr>
        <w:t>可根据</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情况调整轮次）。如供应商在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过程中存在违法、违纪行为，</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将不允许其参加最后报价。</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结束后，</w:t>
      </w:r>
      <w:r>
        <w:rPr>
          <w:rFonts w:hint="eastAsia" w:ascii="仿宋" w:hAnsi="仿宋" w:eastAsia="仿宋" w:cs="仿宋"/>
          <w:color w:val="auto"/>
          <w:sz w:val="32"/>
          <w:szCs w:val="32"/>
          <w:lang w:eastAsia="zh-CN"/>
        </w:rPr>
        <w:t>评审小组要求供应商现场进行</w:t>
      </w:r>
      <w:r>
        <w:rPr>
          <w:rFonts w:hint="eastAsia" w:ascii="仿宋" w:hAnsi="仿宋" w:eastAsia="仿宋" w:cs="仿宋"/>
          <w:color w:val="auto"/>
          <w:sz w:val="32"/>
          <w:szCs w:val="32"/>
        </w:rPr>
        <w:t>最终报价</w:t>
      </w:r>
      <w:r>
        <w:rPr>
          <w:rFonts w:hint="eastAsia" w:ascii="仿宋" w:hAnsi="仿宋" w:eastAsia="仿宋" w:cs="仿宋"/>
          <w:color w:val="auto"/>
          <w:sz w:val="32"/>
          <w:szCs w:val="32"/>
          <w:lang w:eastAsia="zh-CN"/>
        </w:rPr>
        <w:t>填报后</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根据符合采购需求、质量和服务相等且报价最低的原则推荐成交候选供应商，由采购人授权</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确认成交供应商，</w:t>
      </w:r>
      <w:r>
        <w:rPr>
          <w:rFonts w:hint="eastAsia" w:ascii="仿宋" w:hAnsi="仿宋" w:eastAsia="仿宋" w:cs="仿宋"/>
          <w:color w:val="auto"/>
          <w:sz w:val="32"/>
          <w:szCs w:val="32"/>
          <w:lang w:eastAsia="zh-CN"/>
        </w:rPr>
        <w:t>采购办</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个工作日内在</w:t>
      </w:r>
      <w:r>
        <w:rPr>
          <w:rFonts w:hint="eastAsia" w:ascii="仿宋" w:hAnsi="仿宋" w:eastAsia="仿宋" w:cs="仿宋"/>
          <w:color w:val="auto"/>
          <w:sz w:val="32"/>
          <w:szCs w:val="32"/>
          <w:lang w:eastAsia="zh-CN"/>
        </w:rPr>
        <w:t>乐山市五通桥区人民医院</w:t>
      </w:r>
      <w:r>
        <w:rPr>
          <w:rFonts w:hint="eastAsia" w:ascii="仿宋" w:hAnsi="仿宋" w:eastAsia="仿宋" w:cs="仿宋"/>
          <w:color w:val="auto"/>
          <w:sz w:val="32"/>
          <w:szCs w:val="32"/>
          <w:lang w:val="en-US" w:eastAsia="zh-CN"/>
        </w:rPr>
        <w:t>网</w:t>
      </w:r>
      <w:r>
        <w:rPr>
          <w:rFonts w:hint="eastAsia" w:ascii="仿宋" w:hAnsi="仿宋" w:eastAsia="仿宋" w:cs="仿宋"/>
          <w:color w:val="auto"/>
          <w:sz w:val="32"/>
          <w:szCs w:val="32"/>
        </w:rPr>
        <w:t>上公告成交结果。</w:t>
      </w:r>
    </w:p>
    <w:p w14:paraId="0E2BEE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四、成交标准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最终报价为依据（未组织</w:t>
      </w:r>
      <w:r>
        <w:rPr>
          <w:rFonts w:hint="eastAsia" w:ascii="仿宋" w:hAnsi="仿宋" w:eastAsia="仿宋" w:cs="仿宋"/>
          <w:color w:val="auto"/>
          <w:sz w:val="32"/>
          <w:szCs w:val="32"/>
          <w:lang w:val="en-US" w:eastAsia="zh-CN"/>
        </w:rPr>
        <w:t>二次报价</w:t>
      </w:r>
      <w:r>
        <w:rPr>
          <w:rFonts w:hint="eastAsia" w:ascii="仿宋" w:hAnsi="仿宋" w:eastAsia="仿宋" w:cs="仿宋"/>
          <w:color w:val="auto"/>
          <w:sz w:val="32"/>
          <w:szCs w:val="32"/>
        </w:rPr>
        <w:t>的，以报价响应文件中的报价为依据），体现满足采购项目要求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且报价最低原则确定成交供应商。</w:t>
      </w:r>
    </w:p>
    <w:p w14:paraId="091173C2">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rPr>
        <w:t>按照采取随机抽取方式确定</w:t>
      </w:r>
      <w:r>
        <w:rPr>
          <w:rFonts w:hint="eastAsia" w:ascii="仿宋" w:hAnsi="仿宋" w:eastAsia="仿宋" w:cs="仿宋"/>
          <w:color w:val="auto"/>
          <w:sz w:val="32"/>
          <w:szCs w:val="32"/>
          <w:lang w:val="en-US" w:eastAsia="zh-CN"/>
        </w:rPr>
        <w:t>第一候选人</w:t>
      </w:r>
      <w:r>
        <w:rPr>
          <w:rFonts w:hint="eastAsia" w:ascii="仿宋" w:hAnsi="仿宋" w:eastAsia="仿宋" w:cs="仿宋"/>
          <w:color w:val="auto"/>
          <w:sz w:val="32"/>
          <w:szCs w:val="32"/>
        </w:rPr>
        <w:t>，其他投标无效。</w:t>
      </w:r>
    </w:p>
    <w:p w14:paraId="2BBA66FB">
      <w:pPr>
        <w:ind w:firstLine="640" w:firstLineChars="200"/>
        <w:jc w:val="left"/>
        <w:rPr>
          <w:rFonts w:hint="default" w:eastAsia="仿宋"/>
          <w:color w:val="auto"/>
          <w:lang w:val="en-US" w:eastAsia="zh-CN"/>
        </w:rPr>
      </w:pPr>
      <w:r>
        <w:rPr>
          <w:rFonts w:hint="eastAsia" w:ascii="仿宋" w:hAnsi="仿宋" w:eastAsia="仿宋" w:cs="仿宋"/>
          <w:color w:val="auto"/>
          <w:sz w:val="32"/>
          <w:szCs w:val="32"/>
          <w:lang w:val="en-US" w:eastAsia="zh-CN"/>
        </w:rPr>
        <w:t>采用</w:t>
      </w:r>
      <w:r>
        <w:rPr>
          <w:rFonts w:hint="eastAsia" w:ascii="仿宋" w:hAnsi="仿宋" w:eastAsia="仿宋" w:cs="仿宋"/>
          <w:color w:val="auto"/>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auto"/>
          <w:sz w:val="32"/>
          <w:szCs w:val="32"/>
          <w:lang w:val="en-US" w:eastAsia="zh-CN"/>
        </w:rPr>
        <w:t>则价格最低的供应商</w:t>
      </w:r>
      <w:r>
        <w:rPr>
          <w:rFonts w:hint="eastAsia" w:ascii="仿宋" w:hAnsi="仿宋" w:eastAsia="仿宋" w:cs="仿宋"/>
          <w:color w:val="auto"/>
          <w:sz w:val="32"/>
          <w:szCs w:val="32"/>
        </w:rPr>
        <w:t>确定</w:t>
      </w:r>
      <w:r>
        <w:rPr>
          <w:rFonts w:hint="eastAsia" w:ascii="仿宋" w:hAnsi="仿宋" w:eastAsia="仿宋" w:cs="仿宋"/>
          <w:color w:val="auto"/>
          <w:sz w:val="32"/>
          <w:szCs w:val="32"/>
          <w:lang w:val="en-US" w:eastAsia="zh-CN"/>
        </w:rPr>
        <w:t>第一候选人。价格也相同时，</w:t>
      </w:r>
      <w:r>
        <w:rPr>
          <w:rFonts w:hint="eastAsia" w:ascii="仿宋" w:hAnsi="仿宋" w:eastAsia="仿宋" w:cs="仿宋"/>
          <w:color w:val="auto"/>
          <w:sz w:val="32"/>
          <w:szCs w:val="32"/>
        </w:rPr>
        <w:t>由采购人</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评标</w:t>
      </w:r>
      <w:r>
        <w:rPr>
          <w:rFonts w:hint="eastAsia" w:ascii="仿宋" w:hAnsi="仿宋" w:eastAsia="仿宋" w:cs="仿宋"/>
          <w:color w:val="auto"/>
          <w:sz w:val="32"/>
          <w:szCs w:val="32"/>
          <w:lang w:val="en-US" w:eastAsia="zh-CN"/>
        </w:rPr>
        <w:t>小组</w:t>
      </w:r>
      <w:r>
        <w:rPr>
          <w:rFonts w:hint="eastAsia" w:ascii="仿宋" w:hAnsi="仿宋" w:eastAsia="仿宋" w:cs="仿宋"/>
          <w:color w:val="auto"/>
          <w:sz w:val="32"/>
          <w:szCs w:val="32"/>
        </w:rPr>
        <w:t>按照采取随机抽取方式确定</w:t>
      </w:r>
      <w:r>
        <w:rPr>
          <w:rFonts w:hint="eastAsia" w:ascii="仿宋" w:hAnsi="仿宋" w:eastAsia="仿宋" w:cs="仿宋"/>
          <w:color w:val="auto"/>
          <w:sz w:val="32"/>
          <w:szCs w:val="32"/>
          <w:lang w:val="en-US" w:eastAsia="zh-CN"/>
        </w:rPr>
        <w:t>第一候选人</w:t>
      </w:r>
      <w:r>
        <w:rPr>
          <w:rFonts w:hint="eastAsia" w:ascii="仿宋" w:hAnsi="仿宋" w:eastAsia="仿宋" w:cs="仿宋"/>
          <w:color w:val="auto"/>
          <w:sz w:val="32"/>
          <w:szCs w:val="32"/>
        </w:rPr>
        <w:t>，其他投标无效。</w:t>
      </w:r>
    </w:p>
    <w:p w14:paraId="2432D0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院内采购评审小组</w:t>
      </w:r>
      <w:r>
        <w:rPr>
          <w:rFonts w:hint="eastAsia" w:ascii="仿宋" w:hAnsi="仿宋" w:eastAsia="仿宋" w:cs="仿宋"/>
          <w:color w:val="auto"/>
          <w:sz w:val="32"/>
          <w:szCs w:val="32"/>
        </w:rPr>
        <w:t>的组建。</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依法由三人</w:t>
      </w:r>
      <w:r>
        <w:rPr>
          <w:rFonts w:hint="eastAsia" w:ascii="仿宋" w:hAnsi="仿宋" w:eastAsia="仿宋" w:cs="仿宋"/>
          <w:color w:val="auto"/>
          <w:sz w:val="32"/>
          <w:szCs w:val="32"/>
          <w:lang w:eastAsia="zh-CN"/>
        </w:rPr>
        <w:t>及</w:t>
      </w:r>
      <w:r>
        <w:rPr>
          <w:rFonts w:hint="eastAsia" w:ascii="仿宋" w:hAnsi="仿宋" w:eastAsia="仿宋" w:cs="仿宋"/>
          <w:color w:val="auto"/>
          <w:sz w:val="32"/>
          <w:szCs w:val="32"/>
        </w:rPr>
        <w:t>以上单数组成。</w:t>
      </w:r>
    </w:p>
    <w:p w14:paraId="2D517F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低于成本价不正当竞争预防措施</w:t>
      </w:r>
    </w:p>
    <w:p w14:paraId="2B2F651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在评审过程中，供应商报价明显低于其他有效供应商报价，有可能影响产品质量或者不能诚信履约的，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小组应当要求其在</w:t>
      </w:r>
      <w:r>
        <w:rPr>
          <w:rFonts w:hint="eastAsia" w:ascii="仿宋" w:hAnsi="仿宋" w:eastAsia="仿宋" w:cs="仿宋"/>
          <w:color w:val="auto"/>
          <w:sz w:val="32"/>
          <w:szCs w:val="32"/>
          <w:lang w:val="en-US" w:eastAsia="zh-CN"/>
        </w:rPr>
        <w:t>半</w:t>
      </w:r>
      <w:r>
        <w:rPr>
          <w:rFonts w:hint="eastAsia" w:ascii="仿宋" w:hAnsi="仿宋" w:eastAsia="仿宋" w:cs="仿宋"/>
          <w:color w:val="auto"/>
          <w:sz w:val="32"/>
          <w:szCs w:val="32"/>
        </w:rPr>
        <w:t>小时内提供书面说明，并提交相关证明材料，供应商不能证明其报价合理性的，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小组应当将其作为无效处理。</w:t>
      </w:r>
    </w:p>
    <w:p w14:paraId="7FB8D4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供应商的书面说明材料应当按照国家财务会计制度的规定要求，逐项就供应商提供的货物、工程和服务的主营业务成本、税金及附加、销售费用、管理费用、财务费用等成本构成事项详细陈述。</w:t>
      </w:r>
    </w:p>
    <w:p w14:paraId="74CD86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供应商书面说明应当签字确认或者加盖公章，否则无效。书面说明的签字确认，由其法定代表人/主要负责人/本人或者其授权代表签字确认。</w:t>
      </w:r>
    </w:p>
    <w:p w14:paraId="11FD72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供应商提供书面说明后，</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小组应当将其响应文件作为无效处理。</w:t>
      </w:r>
    </w:p>
    <w:p w14:paraId="47EAEE6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工作纪律和注意事项。在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活动中，供应商、</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工作的有关工作人员应严格遵守相关纪律规定，注意以下事项：</w:t>
      </w:r>
    </w:p>
    <w:p w14:paraId="32147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不得泄露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活动在应当保密的情况和资料，不得与供应商串通损害国家利益、社会公共利益或者他人合法权益。</w:t>
      </w:r>
    </w:p>
    <w:p w14:paraId="4AC6F6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供应商不得相互串通报价；不得向</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成员行贿谋取成交；不得以他人名义或者其他方式弄虚作假骗取成交；不得以任何方式干扰、影响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w:t>
      </w:r>
    </w:p>
    <w:p w14:paraId="6389F7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成员不得收受他人财物或者其他好处，不得向他人透露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活动中的各个细节和标准情况。在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活动中，不得擅离职守，影响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活动的进行，不得使用本</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文件规定以外的因素和标准进行评审、比较。</w:t>
      </w:r>
    </w:p>
    <w:p w14:paraId="28ED5D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auto"/>
          <w:sz w:val="24"/>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的工作人员不得收受他人的财物或者其他好处，不得向他人透露</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活动中各有关细节及推荐评审情况。在</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活动中不得擅离职守，影响</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rPr>
        <w:t>活动的正常进行。</w:t>
      </w:r>
    </w:p>
    <w:p w14:paraId="015F6023">
      <w:pPr>
        <w:pStyle w:val="7"/>
        <w:ind w:left="0" w:leftChars="0" w:firstLine="0" w:firstLineChars="0"/>
        <w:rPr>
          <w:rFonts w:hint="eastAsia" w:ascii="黑体" w:hAnsi="黑体" w:eastAsia="黑体" w:cs="黑体"/>
          <w:color w:val="auto"/>
          <w:lang w:eastAsia="zh-CN"/>
        </w:rPr>
      </w:pPr>
    </w:p>
    <w:p w14:paraId="313622CD">
      <w:pPr>
        <w:rPr>
          <w:rFonts w:hint="eastAsia" w:ascii="黑体" w:hAnsi="黑体" w:eastAsia="黑体" w:cs="黑体"/>
          <w:color w:val="auto"/>
          <w:lang w:val="en-US" w:eastAsia="zh-CN"/>
        </w:rPr>
      </w:pPr>
    </w:p>
    <w:p w14:paraId="05D22D78">
      <w:pPr>
        <w:rPr>
          <w:rFonts w:hint="eastAsia" w:ascii="黑体" w:hAnsi="黑体" w:eastAsia="黑体" w:cs="黑体"/>
          <w:b/>
          <w:color w:val="auto"/>
          <w:sz w:val="48"/>
          <w:szCs w:val="48"/>
          <w:u w:val="single"/>
        </w:rPr>
      </w:pPr>
      <w:r>
        <w:rPr>
          <w:rFonts w:hint="eastAsia" w:ascii="黑体" w:hAnsi="黑体" w:eastAsia="黑体" w:cs="黑体"/>
          <w:b/>
          <w:color w:val="auto"/>
          <w:sz w:val="48"/>
          <w:szCs w:val="48"/>
          <w:u w:val="single"/>
        </w:rPr>
        <w:br w:type="page"/>
      </w:r>
    </w:p>
    <w:p w14:paraId="051E9A29">
      <w:pPr>
        <w:spacing w:line="360" w:lineRule="auto"/>
        <w:jc w:val="left"/>
        <w:rPr>
          <w:rFonts w:hint="eastAsia" w:ascii="黑体" w:hAnsi="黑体" w:eastAsia="黑体" w:cs="黑体"/>
          <w:b/>
          <w:color w:val="auto"/>
          <w:sz w:val="48"/>
          <w:szCs w:val="48"/>
          <w:lang w:val="en-US" w:eastAsia="zh-CN"/>
        </w:rPr>
      </w:pPr>
      <w:r>
        <w:rPr>
          <w:rFonts w:hint="eastAsia" w:ascii="黑体" w:hAnsi="黑体" w:eastAsia="黑体" w:cs="黑体"/>
          <w:b/>
          <w:color w:val="auto"/>
          <w:sz w:val="48"/>
          <w:szCs w:val="48"/>
          <w:lang w:val="en-US" w:eastAsia="zh-CN"/>
        </w:rPr>
        <w:t>（采购封面）</w:t>
      </w:r>
    </w:p>
    <w:p w14:paraId="55C87371">
      <w:pPr>
        <w:spacing w:line="360" w:lineRule="auto"/>
        <w:jc w:val="center"/>
        <w:rPr>
          <w:rFonts w:hint="eastAsia" w:ascii="黑体" w:hAnsi="黑体" w:eastAsia="黑体" w:cs="黑体"/>
          <w:b/>
          <w:color w:val="auto"/>
          <w:sz w:val="48"/>
          <w:szCs w:val="48"/>
          <w:lang w:eastAsia="zh-CN"/>
        </w:rPr>
      </w:pPr>
      <w:r>
        <w:rPr>
          <w:rFonts w:hint="eastAsia" w:ascii="黑体" w:hAnsi="黑体" w:eastAsia="黑体" w:cs="黑体"/>
          <w:b/>
          <w:color w:val="auto"/>
          <w:sz w:val="48"/>
          <w:szCs w:val="48"/>
          <w:lang w:val="en-US" w:eastAsia="zh-CN"/>
        </w:rPr>
        <w:t>乐山市五通桥区人民医院采购项目</w:t>
      </w:r>
    </w:p>
    <w:p w14:paraId="724E6C68">
      <w:pPr>
        <w:spacing w:line="400" w:lineRule="exact"/>
        <w:ind w:firstLine="4897" w:firstLineChars="583"/>
        <w:rPr>
          <w:rFonts w:hint="eastAsia" w:ascii="黑体" w:hAnsi="黑体" w:eastAsia="黑体" w:cs="黑体"/>
          <w:color w:val="auto"/>
          <w:sz w:val="84"/>
          <w:szCs w:val="84"/>
          <w:lang w:eastAsia="zh-CN"/>
        </w:rPr>
      </w:pPr>
    </w:p>
    <w:p w14:paraId="5E7EE96D">
      <w:pPr>
        <w:pStyle w:val="5"/>
        <w:jc w:val="center"/>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val="en-US" w:eastAsia="zh-CN"/>
        </w:rPr>
        <w:t>采购文件</w:t>
      </w:r>
    </w:p>
    <w:p w14:paraId="6FE91240">
      <w:pPr>
        <w:rPr>
          <w:rFonts w:hint="eastAsia" w:ascii="黑体" w:hAnsi="黑体" w:eastAsia="黑体" w:cs="黑体"/>
          <w:color w:val="auto"/>
          <w:sz w:val="84"/>
          <w:szCs w:val="84"/>
          <w:lang w:val="en-US" w:eastAsia="zh-CN"/>
        </w:rPr>
      </w:pPr>
    </w:p>
    <w:p w14:paraId="65B839F2">
      <w:pPr>
        <w:pStyle w:val="5"/>
        <w:rPr>
          <w:rFonts w:hint="eastAsia" w:ascii="黑体" w:hAnsi="黑体" w:eastAsia="黑体" w:cs="黑体"/>
          <w:color w:val="auto"/>
          <w:lang w:val="en-US" w:eastAsia="zh-CN"/>
        </w:rPr>
      </w:pPr>
    </w:p>
    <w:p w14:paraId="24147955">
      <w:pPr>
        <w:spacing w:line="400" w:lineRule="exact"/>
        <w:ind w:firstLine="4897" w:firstLineChars="583"/>
        <w:rPr>
          <w:rFonts w:hint="eastAsia" w:ascii="黑体" w:hAnsi="黑体" w:eastAsia="黑体" w:cs="黑体"/>
          <w:color w:val="auto"/>
          <w:sz w:val="84"/>
          <w:szCs w:val="84"/>
        </w:rPr>
      </w:pPr>
    </w:p>
    <w:p w14:paraId="03B0BC2C">
      <w:pPr>
        <w:spacing w:line="400" w:lineRule="exact"/>
        <w:ind w:firstLine="4897" w:firstLineChars="583"/>
        <w:rPr>
          <w:rFonts w:hint="eastAsia" w:ascii="黑体" w:hAnsi="黑体" w:eastAsia="黑体" w:cs="黑体"/>
          <w:color w:val="auto"/>
          <w:sz w:val="84"/>
          <w:szCs w:val="84"/>
        </w:rPr>
      </w:pPr>
    </w:p>
    <w:p w14:paraId="44CCBE24">
      <w:pPr>
        <w:spacing w:line="400" w:lineRule="exact"/>
        <w:rPr>
          <w:rFonts w:hint="eastAsia" w:ascii="黑体" w:hAnsi="黑体" w:eastAsia="黑体" w:cs="黑体"/>
          <w:b/>
          <w:bCs/>
          <w:color w:val="auto"/>
          <w:sz w:val="30"/>
          <w:szCs w:val="30"/>
        </w:rPr>
      </w:pPr>
    </w:p>
    <w:p w14:paraId="203C3763">
      <w:pPr>
        <w:widowControl w:val="0"/>
        <w:adjustRightInd/>
        <w:spacing w:line="360" w:lineRule="auto"/>
        <w:rPr>
          <w:rFonts w:hint="eastAsia" w:ascii="黑体" w:hAnsi="黑体" w:eastAsia="黑体" w:cs="黑体"/>
          <w:b/>
          <w:color w:val="auto"/>
          <w:sz w:val="32"/>
          <w:szCs w:val="32"/>
          <w:u w:val="single"/>
        </w:rPr>
      </w:pPr>
      <w:r>
        <w:rPr>
          <w:rFonts w:hint="eastAsia" w:ascii="黑体" w:hAnsi="黑体" w:eastAsia="黑体" w:cs="黑体"/>
          <w:b/>
          <w:bCs/>
          <w:color w:val="auto"/>
          <w:sz w:val="32"/>
          <w:szCs w:val="32"/>
        </w:rPr>
        <w:t>项目名称：</w:t>
      </w:r>
      <w:r>
        <w:rPr>
          <w:rFonts w:hint="eastAsia" w:ascii="黑体" w:hAnsi="黑体" w:eastAsia="黑体" w:cs="黑体"/>
          <w:b/>
          <w:color w:val="auto"/>
          <w:sz w:val="32"/>
          <w:szCs w:val="32"/>
          <w:u w:val="single"/>
        </w:rPr>
        <w:t xml:space="preserve">                               </w:t>
      </w:r>
    </w:p>
    <w:p w14:paraId="6D849B8D">
      <w:pPr>
        <w:widowControl w:val="0"/>
        <w:adjustRightInd/>
        <w:spacing w:line="360" w:lineRule="auto"/>
        <w:rPr>
          <w:rFonts w:hint="default" w:ascii="黑体" w:hAnsi="黑体" w:eastAsia="黑体" w:cs="黑体"/>
          <w:b/>
          <w:color w:val="auto"/>
          <w:sz w:val="32"/>
          <w:szCs w:val="32"/>
          <w:u w:val="single"/>
          <w:lang w:val="en-US" w:eastAsia="zh-CN"/>
        </w:rPr>
      </w:pPr>
      <w:r>
        <w:rPr>
          <w:rFonts w:hint="eastAsia" w:ascii="黑体" w:hAnsi="黑体" w:eastAsia="黑体" w:cs="黑体"/>
          <w:b/>
          <w:bCs/>
          <w:color w:val="auto"/>
          <w:sz w:val="32"/>
          <w:szCs w:val="32"/>
          <w:lang w:val="en-US" w:eastAsia="zh-CN"/>
        </w:rPr>
        <w:t>项目编号：</w:t>
      </w:r>
      <w:r>
        <w:rPr>
          <w:rFonts w:hint="eastAsia" w:ascii="黑体" w:hAnsi="黑体" w:eastAsia="黑体" w:cs="黑体"/>
          <w:b/>
          <w:color w:val="auto"/>
          <w:sz w:val="32"/>
          <w:szCs w:val="32"/>
          <w:u w:val="single"/>
          <w:lang w:val="en-US" w:eastAsia="zh-CN"/>
        </w:rPr>
        <w:t xml:space="preserve">                            </w:t>
      </w:r>
    </w:p>
    <w:p w14:paraId="45786B23">
      <w:pPr>
        <w:widowControl w:val="0"/>
        <w:adjustRightInd/>
        <w:spacing w:line="360" w:lineRule="auto"/>
        <w:rPr>
          <w:rFonts w:hint="eastAsia" w:ascii="黑体" w:hAnsi="黑体" w:eastAsia="黑体" w:cs="黑体"/>
          <w:b/>
          <w:bCs/>
          <w:color w:val="auto"/>
          <w:sz w:val="32"/>
          <w:szCs w:val="32"/>
          <w:u w:val="single"/>
        </w:rPr>
      </w:pPr>
      <w:r>
        <w:rPr>
          <w:rFonts w:hint="eastAsia" w:ascii="黑体" w:hAnsi="黑体" w:eastAsia="黑体" w:cs="黑体"/>
          <w:b/>
          <w:bCs/>
          <w:color w:val="auto"/>
          <w:sz w:val="32"/>
          <w:szCs w:val="32"/>
          <w:lang w:eastAsia="zh-CN"/>
        </w:rPr>
        <w:t>供应</w:t>
      </w:r>
      <w:r>
        <w:rPr>
          <w:rFonts w:hint="eastAsia" w:ascii="黑体" w:hAnsi="黑体" w:eastAsia="黑体" w:cs="黑体"/>
          <w:b/>
          <w:bCs/>
          <w:color w:val="auto"/>
          <w:sz w:val="32"/>
          <w:szCs w:val="32"/>
        </w:rPr>
        <w:t>商名称</w:t>
      </w:r>
      <w:r>
        <w:rPr>
          <w:rFonts w:hint="eastAsia" w:ascii="黑体" w:hAnsi="黑体" w:eastAsia="黑体" w:cs="黑体"/>
          <w:b/>
          <w:color w:val="auto"/>
          <w:sz w:val="32"/>
          <w:szCs w:val="32"/>
        </w:rPr>
        <w:t xml:space="preserve">： </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single"/>
        </w:rPr>
        <w:t xml:space="preserve">  </w:t>
      </w:r>
      <w:r>
        <w:rPr>
          <w:rFonts w:hint="eastAsia" w:ascii="黑体" w:hAnsi="黑体" w:eastAsia="黑体" w:cs="黑体"/>
          <w:b/>
          <w:bCs/>
          <w:color w:val="auto"/>
          <w:sz w:val="32"/>
          <w:szCs w:val="32"/>
        </w:rPr>
        <w:t>（盖章）</w:t>
      </w:r>
    </w:p>
    <w:p w14:paraId="00278458">
      <w:pPr>
        <w:widowControl w:val="0"/>
        <w:adjustRightInd/>
        <w:spacing w:line="360" w:lineRule="auto"/>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联系人及电话：________________________</w:t>
      </w:r>
    </w:p>
    <w:p w14:paraId="11F2C204">
      <w:pPr>
        <w:widowControl w:val="0"/>
        <w:adjustRightInd/>
        <w:spacing w:line="360" w:lineRule="auto"/>
        <w:ind w:firstLine="315" w:firstLineChars="98"/>
        <w:rPr>
          <w:rFonts w:hint="eastAsia" w:ascii="黑体" w:hAnsi="黑体" w:eastAsia="黑体" w:cs="黑体"/>
          <w:b/>
          <w:bCs/>
          <w:color w:val="auto"/>
          <w:sz w:val="32"/>
          <w:szCs w:val="32"/>
        </w:rPr>
      </w:pPr>
    </w:p>
    <w:p w14:paraId="12B15D86">
      <w:pPr>
        <w:widowControl w:val="0"/>
        <w:adjustRightInd/>
        <w:spacing w:line="360" w:lineRule="auto"/>
        <w:ind w:firstLine="3040" w:firstLineChars="950"/>
        <w:rPr>
          <w:rFonts w:hint="eastAsia" w:ascii="黑体" w:hAnsi="黑体" w:eastAsia="黑体" w:cs="黑体"/>
          <w:color w:val="auto"/>
          <w:sz w:val="32"/>
          <w:szCs w:val="32"/>
        </w:rPr>
      </w:pP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年</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月</w:t>
      </w:r>
      <w:r>
        <w:rPr>
          <w:rFonts w:hint="eastAsia" w:ascii="黑体" w:hAnsi="黑体" w:eastAsia="黑体" w:cs="黑体"/>
          <w:color w:val="auto"/>
          <w:sz w:val="32"/>
          <w:szCs w:val="32"/>
          <w:u w:val="single"/>
        </w:rPr>
        <w:t xml:space="preserve">   </w:t>
      </w:r>
      <w:r>
        <w:rPr>
          <w:rFonts w:hint="eastAsia" w:ascii="黑体" w:hAnsi="黑体" w:eastAsia="黑体" w:cs="黑体"/>
          <w:color w:val="auto"/>
          <w:sz w:val="32"/>
          <w:szCs w:val="32"/>
        </w:rPr>
        <w:t>日</w:t>
      </w:r>
    </w:p>
    <w:p w14:paraId="0888E0B2">
      <w:pPr>
        <w:rPr>
          <w:rFonts w:hint="eastAsia" w:ascii="黑体" w:hAnsi="黑体" w:eastAsia="黑体" w:cs="黑体"/>
          <w:b/>
          <w:bCs/>
          <w:color w:val="auto"/>
          <w:sz w:val="32"/>
          <w:szCs w:val="32"/>
        </w:rPr>
      </w:pPr>
      <w:bookmarkStart w:id="0" w:name="_Toc25737"/>
      <w:bookmarkStart w:id="1" w:name="_Toc18458"/>
      <w:bookmarkStart w:id="2" w:name="_Toc5773"/>
      <w:bookmarkStart w:id="3" w:name="_Toc9490"/>
      <w:r>
        <w:rPr>
          <w:rFonts w:hint="eastAsia" w:ascii="黑体" w:hAnsi="黑体" w:eastAsia="黑体" w:cs="黑体"/>
          <w:b/>
          <w:bCs/>
          <w:color w:val="auto"/>
          <w:sz w:val="32"/>
          <w:szCs w:val="32"/>
        </w:rPr>
        <w:br w:type="page"/>
      </w:r>
    </w:p>
    <w:bookmarkEnd w:id="0"/>
    <w:bookmarkEnd w:id="1"/>
    <w:bookmarkEnd w:id="2"/>
    <w:bookmarkEnd w:id="3"/>
    <w:p w14:paraId="32BAF489">
      <w:pPr>
        <w:pStyle w:val="5"/>
        <w:jc w:val="center"/>
        <w:rPr>
          <w:rFonts w:hint="eastAsia" w:ascii="黑体" w:hAnsi="黑体" w:eastAsia="黑体" w:cs="黑体"/>
          <w:color w:val="auto"/>
          <w:kern w:val="2"/>
          <w:sz w:val="36"/>
          <w:szCs w:val="36"/>
          <w:lang w:val="en-US" w:eastAsia="zh-CN" w:bidi="ar-SA"/>
        </w:rPr>
      </w:pPr>
      <w:bookmarkStart w:id="4" w:name="_Toc12449"/>
      <w:bookmarkStart w:id="5" w:name="_Toc4003"/>
      <w:bookmarkStart w:id="6" w:name="_Toc439699516"/>
      <w:bookmarkStart w:id="7" w:name="_Toc17549"/>
      <w:r>
        <w:rPr>
          <w:rFonts w:hint="eastAsia" w:ascii="黑体" w:hAnsi="黑体" w:eastAsia="黑体" w:cs="黑体"/>
          <w:color w:val="auto"/>
          <w:kern w:val="2"/>
          <w:sz w:val="36"/>
          <w:szCs w:val="36"/>
          <w:lang w:val="en-US" w:eastAsia="zh-CN" w:bidi="ar-SA"/>
        </w:rPr>
        <w:t>承诺函</w:t>
      </w:r>
    </w:p>
    <w:p w14:paraId="65A6C026">
      <w:pPr>
        <w:pStyle w:val="5"/>
        <w:rPr>
          <w:rFonts w:hint="eastAsia" w:ascii="黑体" w:hAnsi="黑体" w:eastAsia="黑体" w:cs="黑体"/>
          <w:color w:val="auto"/>
          <w:sz w:val="28"/>
          <w:szCs w:val="28"/>
        </w:rPr>
      </w:pPr>
    </w:p>
    <w:p w14:paraId="35A996C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rPr>
        <w:t>乐山市</w:t>
      </w:r>
      <w:r>
        <w:rPr>
          <w:rFonts w:hint="eastAsia" w:ascii="仿宋" w:hAnsi="仿宋" w:eastAsia="仿宋" w:cs="仿宋"/>
          <w:color w:val="auto"/>
          <w:spacing w:val="2"/>
          <w:sz w:val="32"/>
          <w:szCs w:val="32"/>
          <w:lang w:eastAsia="zh-CN"/>
        </w:rPr>
        <w:t>五通桥区人民医院</w:t>
      </w:r>
    </w:p>
    <w:p w14:paraId="621E6775">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我方作为本次采购项目的供应商，根据供应商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文件要求，现郑重承诺如下：</w:t>
      </w:r>
    </w:p>
    <w:p w14:paraId="49427B7B">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一、具备本项目规定的条件</w:t>
      </w:r>
    </w:p>
    <w:p w14:paraId="58087352">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1.</w:t>
      </w:r>
      <w:r>
        <w:rPr>
          <w:rFonts w:hint="eastAsia" w:ascii="仿宋" w:hAnsi="仿宋" w:eastAsia="仿宋" w:cs="仿宋"/>
          <w:color w:val="auto"/>
          <w:spacing w:val="2"/>
          <w:sz w:val="32"/>
          <w:szCs w:val="32"/>
        </w:rPr>
        <w:t>具有独立承担民事责任的能力；</w:t>
      </w:r>
    </w:p>
    <w:p w14:paraId="45CA6DF1">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2.</w:t>
      </w:r>
      <w:r>
        <w:rPr>
          <w:rFonts w:hint="eastAsia" w:ascii="仿宋" w:hAnsi="仿宋" w:eastAsia="仿宋" w:cs="仿宋"/>
          <w:color w:val="auto"/>
          <w:spacing w:val="2"/>
          <w:sz w:val="32"/>
          <w:szCs w:val="32"/>
        </w:rPr>
        <w:t>具有良好的商业信誉和健全的财务会计制度；</w:t>
      </w:r>
    </w:p>
    <w:p w14:paraId="57F8FB37">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3.</w:t>
      </w:r>
      <w:r>
        <w:rPr>
          <w:rFonts w:hint="eastAsia" w:ascii="仿宋" w:hAnsi="仿宋" w:eastAsia="仿宋" w:cs="仿宋"/>
          <w:color w:val="auto"/>
          <w:spacing w:val="2"/>
          <w:sz w:val="32"/>
          <w:szCs w:val="32"/>
        </w:rPr>
        <w:t>具有履行合同所必须的设备和专业技术能力；</w:t>
      </w:r>
    </w:p>
    <w:p w14:paraId="442E8C9D">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4.</w:t>
      </w:r>
      <w:r>
        <w:rPr>
          <w:rFonts w:hint="eastAsia" w:ascii="仿宋" w:hAnsi="仿宋" w:eastAsia="仿宋" w:cs="仿宋"/>
          <w:color w:val="auto"/>
          <w:spacing w:val="2"/>
          <w:sz w:val="32"/>
          <w:szCs w:val="32"/>
        </w:rPr>
        <w:t>具有依法缴纳税收和社会保障资金的良好记录；</w:t>
      </w:r>
    </w:p>
    <w:p w14:paraId="16F002D8">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5.</w:t>
      </w:r>
      <w:r>
        <w:rPr>
          <w:rFonts w:hint="eastAsia" w:ascii="仿宋" w:hAnsi="仿宋" w:eastAsia="仿宋" w:cs="仿宋"/>
          <w:color w:val="auto"/>
          <w:spacing w:val="2"/>
          <w:sz w:val="32"/>
          <w:szCs w:val="32"/>
        </w:rPr>
        <w:t>参加本次供应商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活动前三年内，在经营活动中没有重大违法记录；</w:t>
      </w:r>
    </w:p>
    <w:p w14:paraId="6141C7F2">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val="en-US" w:eastAsia="zh-CN"/>
        </w:rPr>
        <w:t>6.</w:t>
      </w:r>
      <w:r>
        <w:rPr>
          <w:rFonts w:hint="eastAsia" w:ascii="仿宋" w:hAnsi="仿宋" w:eastAsia="仿宋" w:cs="仿宋"/>
          <w:color w:val="auto"/>
          <w:spacing w:val="2"/>
          <w:sz w:val="32"/>
          <w:szCs w:val="32"/>
        </w:rPr>
        <w:t>法律、行政法规规定的其他条件；</w:t>
      </w:r>
    </w:p>
    <w:p w14:paraId="6808C171">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二、我方完全接受本项目供应商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文件中规定的要求，如对供应商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文件有异议，已经在供应商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截止时间届满前依法进行维权，不存在对供应商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文件有异议的同时又参加</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活动以求侥幸成交或者为实现其他非法目的的行为。</w:t>
      </w:r>
    </w:p>
    <w:p w14:paraId="68046A62">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三、我方完全接受并认可本项目供应商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文件中规定的要求，并通过我方的响应文件对供应商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文件的规定要求做出了全面的积极响应，如因我方提供的响应没有完全达到或符合本项目供应商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文件的规定要求，评审小组、本项目采购人等单位或组织按国家法律法规及供应商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文件的规定要求做出的认定、处置行为，我方完全同意。</w:t>
      </w:r>
    </w:p>
    <w:p w14:paraId="748248BC">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四、我方完全尊重并认可本项目供应商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文件中规定并赋予本项目采购人“自主采取公平、择优的方式选择”的权利，对本项目采购人选择的结果完全认同并无异议。</w:t>
      </w:r>
    </w:p>
    <w:p w14:paraId="2477C9B4">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五、参加本次供应商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活动的行为。</w:t>
      </w:r>
    </w:p>
    <w:p w14:paraId="30D16A36">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六、参加本次供应商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活动，不存在和其他供应商在同一合同项下的供应商</w:t>
      </w:r>
      <w:r>
        <w:rPr>
          <w:rFonts w:hint="eastAsia" w:ascii="仿宋" w:hAnsi="仿宋" w:eastAsia="仿宋" w:cs="仿宋"/>
          <w:color w:val="auto"/>
          <w:spacing w:val="2"/>
          <w:sz w:val="32"/>
          <w:szCs w:val="32"/>
          <w:lang w:eastAsia="zh-CN"/>
        </w:rPr>
        <w:t>采购</w:t>
      </w:r>
      <w:r>
        <w:rPr>
          <w:rFonts w:hint="eastAsia" w:ascii="仿宋" w:hAnsi="仿宋" w:eastAsia="仿宋" w:cs="仿宋"/>
          <w:color w:val="auto"/>
          <w:spacing w:val="2"/>
          <w:sz w:val="32"/>
          <w:szCs w:val="32"/>
        </w:rPr>
        <w:t>项目中，同时委托同一个自然人、同一家庭的人员、同一单位的人员作为代理人的行为。</w:t>
      </w:r>
    </w:p>
    <w:p w14:paraId="5722C865">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lang w:eastAsia="zh-CN"/>
        </w:rPr>
        <w:t>七</w:t>
      </w:r>
      <w:r>
        <w:rPr>
          <w:rFonts w:hint="eastAsia" w:ascii="仿宋" w:hAnsi="仿宋" w:eastAsia="仿宋" w:cs="仿宋"/>
          <w:color w:val="auto"/>
          <w:spacing w:val="2"/>
          <w:sz w:val="32"/>
          <w:szCs w:val="32"/>
        </w:rPr>
        <w:t>、供应商响应文件中提供的技术、服务、商务等响应承诺情况都是真实的、有效的、合法的。</w:t>
      </w:r>
    </w:p>
    <w:p w14:paraId="1665E5C6">
      <w:pPr>
        <w:pStyle w:val="5"/>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spacing w:val="2"/>
          <w:sz w:val="32"/>
          <w:szCs w:val="32"/>
          <w:lang w:val="en-US" w:eastAsia="zh-CN"/>
        </w:rPr>
        <w:t xml:space="preserve">    八、</w:t>
      </w:r>
      <w:r>
        <w:rPr>
          <w:rFonts w:hint="eastAsia" w:ascii="仿宋" w:hAnsi="仿宋" w:eastAsia="仿宋" w:cs="仿宋"/>
          <w:color w:val="auto"/>
          <w:spacing w:val="2"/>
          <w:kern w:val="2"/>
          <w:sz w:val="32"/>
          <w:szCs w:val="32"/>
          <w:lang w:val="en-US" w:eastAsia="zh-CN" w:bidi="ar-SA"/>
        </w:rPr>
        <w:t>如本项目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35C9A6E5">
      <w:pPr>
        <w:snapToGrid w:val="0"/>
        <w:spacing w:line="240" w:lineRule="auto"/>
        <w:ind w:firstLine="648" w:firstLineChars="200"/>
        <w:contextualSpacing/>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本公司对上述承诺的内容事项真实性负责。如经查实上述承诺的内容事项存在虚假，我公司愿意接受以提供虚假材料谋取成交追究法律责任。</w:t>
      </w:r>
    </w:p>
    <w:p w14:paraId="026D5F56">
      <w:pPr>
        <w:pStyle w:val="29"/>
        <w:rPr>
          <w:rFonts w:hint="eastAsia" w:ascii="仿宋" w:hAnsi="仿宋" w:eastAsia="仿宋" w:cs="仿宋"/>
          <w:color w:val="auto"/>
          <w:sz w:val="32"/>
          <w:szCs w:val="32"/>
        </w:rPr>
      </w:pPr>
    </w:p>
    <w:p w14:paraId="77BBA41A">
      <w:pPr>
        <w:rPr>
          <w:rFonts w:hint="eastAsia"/>
          <w:color w:val="auto"/>
        </w:rPr>
      </w:pPr>
    </w:p>
    <w:p w14:paraId="37D7581A">
      <w:pPr>
        <w:snapToGrid w:val="0"/>
        <w:spacing w:line="360" w:lineRule="auto"/>
        <w:ind w:firstLine="2916" w:firstLineChars="900"/>
        <w:contextualSpacing/>
        <w:jc w:val="right"/>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供应商名称（单位公章）：XXXX</w:t>
      </w:r>
    </w:p>
    <w:p w14:paraId="767C6A0F">
      <w:pPr>
        <w:snapToGrid w:val="0"/>
        <w:spacing w:line="360" w:lineRule="auto"/>
        <w:contextualSpacing/>
        <w:jc w:val="right"/>
        <w:rPr>
          <w:rFonts w:hint="eastAsia" w:ascii="仿宋" w:hAnsi="仿宋" w:eastAsia="仿宋" w:cs="仿宋"/>
          <w:color w:val="auto"/>
          <w:spacing w:val="2"/>
          <w:sz w:val="32"/>
          <w:szCs w:val="32"/>
        </w:rPr>
      </w:pPr>
      <w:r>
        <w:rPr>
          <w:rFonts w:hint="eastAsia" w:ascii="仿宋" w:hAnsi="仿宋" w:eastAsia="仿宋" w:cs="仿宋"/>
          <w:color w:val="auto"/>
          <w:spacing w:val="2"/>
          <w:sz w:val="32"/>
          <w:szCs w:val="32"/>
        </w:rPr>
        <w:t>法定代表人或授权代表（签字或加盖个人名章）：XXXX</w:t>
      </w:r>
    </w:p>
    <w:p w14:paraId="1B06D298">
      <w:pPr>
        <w:snapToGrid w:val="0"/>
        <w:spacing w:line="360" w:lineRule="auto"/>
        <w:ind w:firstLine="2916" w:firstLineChars="900"/>
        <w:contextualSpacing/>
        <w:jc w:val="right"/>
        <w:rPr>
          <w:rFonts w:hint="eastAsia" w:ascii="黑体" w:hAnsi="黑体" w:eastAsia="黑体" w:cs="黑体"/>
          <w:color w:val="auto"/>
          <w:spacing w:val="2"/>
          <w:sz w:val="28"/>
          <w:szCs w:val="28"/>
        </w:rPr>
      </w:pPr>
      <w:r>
        <w:rPr>
          <w:rFonts w:hint="eastAsia" w:ascii="仿宋" w:hAnsi="仿宋" w:eastAsia="仿宋" w:cs="仿宋"/>
          <w:color w:val="auto"/>
          <w:spacing w:val="2"/>
          <w:sz w:val="32"/>
          <w:szCs w:val="32"/>
        </w:rPr>
        <w:t>日期：</w:t>
      </w:r>
      <w:r>
        <w:rPr>
          <w:rFonts w:hint="eastAsia" w:ascii="仿宋" w:hAnsi="仿宋" w:eastAsia="仿宋" w:cs="仿宋"/>
          <w:color w:val="auto"/>
          <w:kern w:val="2"/>
          <w:sz w:val="32"/>
          <w:szCs w:val="32"/>
        </w:rPr>
        <w:t>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p>
    <w:p w14:paraId="13B5865A">
      <w:pPr>
        <w:pStyle w:val="5"/>
        <w:adjustRightInd w:val="0"/>
        <w:snapToGrid w:val="0"/>
        <w:spacing w:after="0" w:line="360" w:lineRule="auto"/>
        <w:ind w:firstLine="560" w:firstLineChars="200"/>
        <w:rPr>
          <w:rFonts w:hint="eastAsia" w:ascii="黑体" w:hAnsi="黑体" w:eastAsia="黑体" w:cs="黑体"/>
          <w:color w:val="auto"/>
          <w:sz w:val="28"/>
          <w:szCs w:val="28"/>
          <w:lang w:eastAsia="zh-CN"/>
        </w:rPr>
      </w:pPr>
    </w:p>
    <w:p w14:paraId="7089335C">
      <w:pPr>
        <w:pStyle w:val="5"/>
        <w:adjustRightInd w:val="0"/>
        <w:snapToGrid w:val="0"/>
        <w:spacing w:after="0" w:line="360" w:lineRule="auto"/>
        <w:ind w:firstLine="560" w:firstLineChars="200"/>
        <w:rPr>
          <w:rFonts w:hint="eastAsia" w:ascii="黑体" w:hAnsi="黑体" w:eastAsia="黑体" w:cs="黑体"/>
          <w:color w:val="auto"/>
          <w:sz w:val="28"/>
          <w:szCs w:val="28"/>
          <w:lang w:eastAsia="zh-CN"/>
        </w:rPr>
      </w:pPr>
    </w:p>
    <w:bookmarkEnd w:id="4"/>
    <w:bookmarkEnd w:id="5"/>
    <w:bookmarkEnd w:id="6"/>
    <w:bookmarkEnd w:id="7"/>
    <w:p w14:paraId="1BBDA091">
      <w:pPr>
        <w:pStyle w:val="5"/>
        <w:jc w:val="center"/>
        <w:rPr>
          <w:rFonts w:hint="eastAsia" w:ascii="黑体" w:hAnsi="黑体" w:eastAsia="黑体" w:cs="黑体"/>
          <w:color w:val="auto"/>
          <w:kern w:val="2"/>
          <w:sz w:val="36"/>
          <w:szCs w:val="36"/>
          <w:lang w:val="en-US" w:eastAsia="zh-CN" w:bidi="ar-SA"/>
        </w:rPr>
      </w:pPr>
      <w:bookmarkStart w:id="8" w:name="_Toc199"/>
      <w:bookmarkStart w:id="9" w:name="_Toc24199"/>
      <w:bookmarkStart w:id="10" w:name="_Toc16184"/>
      <w:bookmarkStart w:id="11" w:name="_Toc1800"/>
      <w:bookmarkStart w:id="12" w:name="_Toc439699522"/>
      <w:bookmarkStart w:id="13" w:name="_Toc1287"/>
      <w:bookmarkStart w:id="14" w:name="_Toc12426"/>
      <w:r>
        <w:rPr>
          <w:rFonts w:hint="eastAsia" w:ascii="黑体" w:hAnsi="黑体" w:eastAsia="黑体" w:cs="黑体"/>
          <w:color w:val="auto"/>
        </w:rPr>
        <w:br w:type="page"/>
      </w:r>
      <w:bookmarkEnd w:id="8"/>
      <w:bookmarkEnd w:id="9"/>
      <w:bookmarkEnd w:id="10"/>
      <w:bookmarkEnd w:id="11"/>
      <w:bookmarkEnd w:id="12"/>
      <w:bookmarkEnd w:id="13"/>
      <w:bookmarkEnd w:id="14"/>
      <w:r>
        <w:rPr>
          <w:rFonts w:hint="eastAsia" w:ascii="黑体" w:hAnsi="黑体" w:eastAsia="黑体" w:cs="黑体"/>
          <w:color w:val="auto"/>
          <w:kern w:val="2"/>
          <w:sz w:val="36"/>
          <w:szCs w:val="36"/>
          <w:lang w:val="en-US" w:eastAsia="zh-CN" w:bidi="ar-SA"/>
        </w:rPr>
        <w:t>购销廉洁、诚信承诺书</w:t>
      </w:r>
    </w:p>
    <w:p w14:paraId="148A8028">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14:paraId="18987C15">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14:paraId="1D5853E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14:paraId="24F45CC4">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14:paraId="5B254DDC">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14:paraId="4487798B">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14:paraId="0C1B6CE3">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14:paraId="6CE62E76">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14:paraId="27BDA445">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14:paraId="4D3C4AEC">
      <w:pPr>
        <w:pStyle w:val="27"/>
        <w:spacing w:line="240" w:lineRule="auto"/>
        <w:ind w:firstLine="0"/>
        <w:rPr>
          <w:rFonts w:hint="eastAsia" w:ascii="仿宋" w:hAnsi="仿宋" w:eastAsia="仿宋" w:cs="仿宋"/>
          <w:color w:val="auto"/>
          <w:sz w:val="32"/>
          <w:szCs w:val="32"/>
        </w:rPr>
      </w:pPr>
    </w:p>
    <w:p w14:paraId="6DB0E3BA">
      <w:pPr>
        <w:pStyle w:val="27"/>
        <w:spacing w:line="240" w:lineRule="auto"/>
        <w:ind w:firstLine="0"/>
        <w:rPr>
          <w:rFonts w:hint="eastAsia" w:ascii="仿宋" w:hAnsi="仿宋" w:eastAsia="仿宋" w:cs="仿宋"/>
          <w:color w:val="auto"/>
          <w:sz w:val="32"/>
          <w:szCs w:val="32"/>
        </w:rPr>
      </w:pPr>
    </w:p>
    <w:p w14:paraId="3C1F2431">
      <w:pPr>
        <w:autoSpaceDN w:val="0"/>
        <w:spacing w:line="240" w:lineRule="auto"/>
        <w:ind w:firstLine="640" w:firstLineChars="200"/>
        <w:jc w:val="right"/>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5</w:t>
      </w:r>
      <w:r>
        <w:rPr>
          <w:rFonts w:hint="eastAsia" w:ascii="仿宋" w:hAnsi="仿宋" w:eastAsia="仿宋" w:cs="仿宋"/>
          <w:color w:val="auto"/>
          <w:kern w:val="2"/>
          <w:sz w:val="32"/>
          <w:szCs w:val="32"/>
        </w:rPr>
        <w:t>年  月  日</w:t>
      </w:r>
      <w:bookmarkEnd w:id="15"/>
    </w:p>
    <w:p w14:paraId="6936C640">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2D85221F">
      <w:pPr>
        <w:pStyle w:val="5"/>
        <w:jc w:val="center"/>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第四章 采购资质要求</w:t>
      </w:r>
    </w:p>
    <w:p w14:paraId="533A034D">
      <w:pPr>
        <w:pStyle w:val="5"/>
        <w:rPr>
          <w:rFonts w:hint="eastAsia" w:ascii="黑体" w:hAnsi="黑体" w:eastAsia="黑体" w:cs="黑体"/>
          <w:b/>
          <w:color w:val="auto"/>
          <w:sz w:val="36"/>
          <w:szCs w:val="36"/>
          <w:lang w:val="en-US" w:eastAsia="zh-CN"/>
        </w:rPr>
      </w:pPr>
    </w:p>
    <w:p w14:paraId="7F675663">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6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809"/>
        <w:gridCol w:w="912"/>
        <w:gridCol w:w="1497"/>
      </w:tblGrid>
      <w:tr w14:paraId="4759C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92" w:type="pct"/>
            <w:noWrap w:val="0"/>
            <w:vAlign w:val="center"/>
          </w:tcPr>
          <w:p w14:paraId="54D35842">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序号</w:t>
            </w:r>
          </w:p>
        </w:tc>
        <w:tc>
          <w:tcPr>
            <w:tcW w:w="3256" w:type="pct"/>
            <w:noWrap w:val="0"/>
            <w:vAlign w:val="center"/>
          </w:tcPr>
          <w:p w14:paraId="5E0C6461">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审查项目</w:t>
            </w:r>
          </w:p>
        </w:tc>
        <w:tc>
          <w:tcPr>
            <w:tcW w:w="511" w:type="pct"/>
            <w:noWrap w:val="0"/>
            <w:vAlign w:val="center"/>
          </w:tcPr>
          <w:p w14:paraId="7E34BE7B">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合格条件</w:t>
            </w:r>
          </w:p>
        </w:tc>
        <w:tc>
          <w:tcPr>
            <w:tcW w:w="839" w:type="pct"/>
            <w:noWrap w:val="0"/>
            <w:vAlign w:val="center"/>
          </w:tcPr>
          <w:p w14:paraId="65C7415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备注</w:t>
            </w:r>
          </w:p>
        </w:tc>
      </w:tr>
      <w:tr w14:paraId="54ED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392" w:type="pct"/>
            <w:noWrap w:val="0"/>
            <w:vAlign w:val="center"/>
          </w:tcPr>
          <w:p w14:paraId="73454290">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1</w:t>
            </w:r>
          </w:p>
        </w:tc>
        <w:tc>
          <w:tcPr>
            <w:tcW w:w="3256" w:type="pct"/>
            <w:noWrap w:val="0"/>
            <w:vAlign w:val="center"/>
          </w:tcPr>
          <w:p w14:paraId="2077600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 xml:space="preserve">三证（营业执照、税务登记证、组织机构代码证）副本；三证合一的只须提供营业执照副本；事业单位、社会团体提供法人登记证书复印件 </w:t>
            </w:r>
          </w:p>
        </w:tc>
        <w:tc>
          <w:tcPr>
            <w:tcW w:w="511" w:type="pct"/>
            <w:noWrap w:val="0"/>
            <w:vAlign w:val="center"/>
          </w:tcPr>
          <w:p w14:paraId="5C997477">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839" w:type="pct"/>
            <w:noWrap w:val="0"/>
            <w:vAlign w:val="center"/>
          </w:tcPr>
          <w:p w14:paraId="03C1F4A4">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复印件加盖公章</w:t>
            </w:r>
          </w:p>
        </w:tc>
      </w:tr>
      <w:tr w14:paraId="5156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92" w:type="pct"/>
            <w:noWrap w:val="0"/>
            <w:vAlign w:val="center"/>
          </w:tcPr>
          <w:p w14:paraId="1D80CC96">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2</w:t>
            </w:r>
          </w:p>
        </w:tc>
        <w:tc>
          <w:tcPr>
            <w:tcW w:w="3256" w:type="pct"/>
            <w:noWrap w:val="0"/>
            <w:vAlign w:val="center"/>
          </w:tcPr>
          <w:p w14:paraId="57E28AED">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提供承诺，购销廉洁、诚信承诺书</w:t>
            </w:r>
          </w:p>
        </w:tc>
        <w:tc>
          <w:tcPr>
            <w:tcW w:w="511" w:type="pct"/>
            <w:noWrap w:val="0"/>
            <w:vAlign w:val="center"/>
          </w:tcPr>
          <w:p w14:paraId="286C2793">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有效</w:t>
            </w:r>
          </w:p>
        </w:tc>
        <w:tc>
          <w:tcPr>
            <w:tcW w:w="839" w:type="pct"/>
            <w:noWrap w:val="0"/>
            <w:vAlign w:val="center"/>
          </w:tcPr>
          <w:p w14:paraId="42C73788">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val="en-US" w:eastAsia="zh-CN"/>
              </w:rPr>
              <w:t>盖章</w:t>
            </w:r>
          </w:p>
        </w:tc>
      </w:tr>
      <w:tr w14:paraId="052F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392" w:type="pct"/>
            <w:noWrap w:val="0"/>
            <w:vAlign w:val="center"/>
          </w:tcPr>
          <w:p w14:paraId="5CFA2ADF">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3</w:t>
            </w:r>
          </w:p>
        </w:tc>
        <w:tc>
          <w:tcPr>
            <w:tcW w:w="3256" w:type="pct"/>
            <w:shd w:val="clear" w:color="auto" w:fill="auto"/>
            <w:noWrap w:val="0"/>
            <w:vAlign w:val="center"/>
          </w:tcPr>
          <w:p w14:paraId="0A250988">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法定代表人授权委托书（法定代表人参与的须提供法定代表人证明书），法定代表人和授权代表的身份证</w:t>
            </w:r>
          </w:p>
        </w:tc>
        <w:tc>
          <w:tcPr>
            <w:tcW w:w="511" w:type="pct"/>
            <w:shd w:val="clear" w:color="auto" w:fill="auto"/>
            <w:noWrap w:val="0"/>
            <w:vAlign w:val="center"/>
          </w:tcPr>
          <w:p w14:paraId="1D9CB619">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有效</w:t>
            </w:r>
          </w:p>
        </w:tc>
        <w:tc>
          <w:tcPr>
            <w:tcW w:w="839" w:type="pct"/>
            <w:shd w:val="clear" w:color="auto" w:fill="auto"/>
            <w:noWrap w:val="0"/>
            <w:vAlign w:val="center"/>
          </w:tcPr>
          <w:p w14:paraId="39107788">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盖章</w:t>
            </w:r>
          </w:p>
        </w:tc>
      </w:tr>
      <w:tr w14:paraId="36A1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392" w:type="pct"/>
            <w:noWrap w:val="0"/>
            <w:vAlign w:val="center"/>
          </w:tcPr>
          <w:p w14:paraId="637F2408">
            <w:pPr>
              <w:snapToGrid w:val="0"/>
              <w:spacing w:line="240" w:lineRule="auto"/>
              <w:contextualSpacing/>
              <w:rPr>
                <w:rFonts w:hint="eastAsia" w:ascii="仿宋" w:hAnsi="仿宋" w:eastAsia="仿宋" w:cs="仿宋"/>
                <w:color w:val="auto"/>
                <w:spacing w:val="2"/>
                <w:sz w:val="32"/>
                <w:szCs w:val="32"/>
                <w:lang w:eastAsia="zh-CN"/>
              </w:rPr>
            </w:pPr>
            <w:r>
              <w:rPr>
                <w:rFonts w:hint="eastAsia" w:ascii="仿宋" w:hAnsi="仿宋" w:eastAsia="仿宋" w:cs="仿宋"/>
                <w:color w:val="auto"/>
                <w:spacing w:val="2"/>
                <w:sz w:val="32"/>
                <w:szCs w:val="32"/>
                <w:lang w:eastAsia="zh-CN"/>
              </w:rPr>
              <w:t>4</w:t>
            </w:r>
          </w:p>
        </w:tc>
        <w:tc>
          <w:tcPr>
            <w:tcW w:w="3256" w:type="pct"/>
            <w:shd w:val="clear" w:color="auto" w:fill="auto"/>
            <w:noWrap w:val="0"/>
            <w:vAlign w:val="center"/>
          </w:tcPr>
          <w:p w14:paraId="24FFDEED">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供应商通过“信用中国”(</w:t>
            </w:r>
            <w:r>
              <w:rPr>
                <w:rFonts w:hint="eastAsia" w:ascii="仿宋" w:hAnsi="仿宋" w:eastAsia="仿宋" w:cs="仿宋"/>
                <w:color w:val="auto"/>
                <w:spacing w:val="2"/>
                <w:sz w:val="32"/>
                <w:szCs w:val="32"/>
                <w:lang w:eastAsia="zh-CN"/>
              </w:rPr>
              <w:fldChar w:fldCharType="begin"/>
            </w:r>
            <w:r>
              <w:rPr>
                <w:rFonts w:hint="eastAsia" w:ascii="仿宋" w:hAnsi="仿宋" w:eastAsia="仿宋" w:cs="仿宋"/>
                <w:color w:val="auto"/>
                <w:spacing w:val="2"/>
                <w:sz w:val="32"/>
                <w:szCs w:val="32"/>
                <w:lang w:eastAsia="zh-CN"/>
              </w:rPr>
              <w:instrText xml:space="preserve"> HYPERLINK "http://www.creditchina.gov.cn)" </w:instrText>
            </w:r>
            <w:r>
              <w:rPr>
                <w:rFonts w:hint="eastAsia" w:ascii="仿宋" w:hAnsi="仿宋" w:eastAsia="仿宋" w:cs="仿宋"/>
                <w:color w:val="auto"/>
                <w:spacing w:val="2"/>
                <w:sz w:val="32"/>
                <w:szCs w:val="32"/>
                <w:lang w:eastAsia="zh-CN"/>
              </w:rPr>
              <w:fldChar w:fldCharType="separate"/>
            </w:r>
            <w:r>
              <w:rPr>
                <w:rFonts w:hint="eastAsia" w:ascii="仿宋" w:hAnsi="仿宋" w:eastAsia="仿宋" w:cs="仿宋"/>
                <w:color w:val="auto"/>
                <w:spacing w:val="2"/>
                <w:sz w:val="32"/>
                <w:szCs w:val="32"/>
                <w:lang w:eastAsia="zh-CN"/>
              </w:rPr>
              <w:t>www.creditchina.gov.cn)</w:t>
            </w:r>
            <w:r>
              <w:rPr>
                <w:rFonts w:hint="eastAsia" w:ascii="仿宋" w:hAnsi="仿宋" w:eastAsia="仿宋" w:cs="仿宋"/>
                <w:color w:val="auto"/>
                <w:spacing w:val="2"/>
                <w:sz w:val="32"/>
                <w:szCs w:val="32"/>
                <w:lang w:eastAsia="zh-CN"/>
              </w:rPr>
              <w:fldChar w:fldCharType="end"/>
            </w:r>
            <w:r>
              <w:rPr>
                <w:rFonts w:hint="eastAsia" w:ascii="仿宋" w:hAnsi="仿宋" w:eastAsia="仿宋" w:cs="仿宋"/>
                <w:color w:val="auto"/>
                <w:spacing w:val="2"/>
                <w:sz w:val="32"/>
                <w:szCs w:val="32"/>
                <w:lang w:eastAsia="zh-CN"/>
              </w:rPr>
              <w:t>、“中国政府采购网”(www.ccgp.gov.cn)网站查询公告发布之日起前三年的信用记录，无不良记录</w:t>
            </w:r>
          </w:p>
        </w:tc>
        <w:tc>
          <w:tcPr>
            <w:tcW w:w="511" w:type="pct"/>
            <w:shd w:val="clear" w:color="auto" w:fill="auto"/>
            <w:noWrap w:val="0"/>
            <w:vAlign w:val="center"/>
          </w:tcPr>
          <w:p w14:paraId="61A7CF0F">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有效</w:t>
            </w:r>
          </w:p>
        </w:tc>
        <w:tc>
          <w:tcPr>
            <w:tcW w:w="839" w:type="pct"/>
            <w:shd w:val="clear" w:color="auto" w:fill="auto"/>
            <w:noWrap w:val="0"/>
            <w:vAlign w:val="center"/>
          </w:tcPr>
          <w:p w14:paraId="369458A8">
            <w:pPr>
              <w:snapToGrid w:val="0"/>
              <w:spacing w:line="240" w:lineRule="auto"/>
              <w:contextualSpacing/>
              <w:rPr>
                <w:rFonts w:hint="eastAsia" w:ascii="仿宋" w:hAnsi="仿宋" w:eastAsia="仿宋" w:cs="仿宋"/>
                <w:color w:val="auto"/>
                <w:spacing w:val="2"/>
                <w:kern w:val="2"/>
                <w:sz w:val="32"/>
                <w:szCs w:val="32"/>
                <w:lang w:val="en-US" w:eastAsia="zh-CN" w:bidi="ar-SA"/>
              </w:rPr>
            </w:pPr>
            <w:r>
              <w:rPr>
                <w:rFonts w:hint="eastAsia" w:ascii="仿宋" w:hAnsi="仿宋" w:eastAsia="仿宋" w:cs="仿宋"/>
                <w:color w:val="auto"/>
                <w:spacing w:val="2"/>
                <w:sz w:val="32"/>
                <w:szCs w:val="32"/>
                <w:lang w:eastAsia="zh-CN"/>
              </w:rPr>
              <w:t>网页截图盖公章</w:t>
            </w:r>
          </w:p>
        </w:tc>
      </w:tr>
      <w:tr w14:paraId="3A1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pct"/>
            <w:noWrap w:val="0"/>
            <w:vAlign w:val="center"/>
          </w:tcPr>
          <w:p w14:paraId="2111DE38">
            <w:pPr>
              <w:snapToGrid w:val="0"/>
              <w:spacing w:line="240" w:lineRule="auto"/>
              <w:contextualSpacing/>
              <w:rPr>
                <w:rFonts w:hint="eastAsia" w:ascii="仿宋" w:hAnsi="仿宋" w:eastAsia="仿宋" w:cs="仿宋"/>
                <w:color w:val="auto"/>
                <w:spacing w:val="2"/>
                <w:sz w:val="32"/>
                <w:szCs w:val="32"/>
                <w:lang w:eastAsia="zh-CN"/>
              </w:rPr>
            </w:pPr>
          </w:p>
        </w:tc>
        <w:tc>
          <w:tcPr>
            <w:tcW w:w="3256" w:type="pct"/>
            <w:noWrap w:val="0"/>
            <w:vAlign w:val="center"/>
          </w:tcPr>
          <w:p w14:paraId="1868FD0C">
            <w:pPr>
              <w:snapToGrid w:val="0"/>
              <w:spacing w:line="240" w:lineRule="auto"/>
              <w:contextualSpacing/>
              <w:rPr>
                <w:rFonts w:hint="eastAsia" w:ascii="仿宋" w:hAnsi="仿宋" w:eastAsia="仿宋" w:cs="仿宋"/>
                <w:color w:val="auto"/>
                <w:spacing w:val="2"/>
                <w:sz w:val="32"/>
                <w:szCs w:val="32"/>
                <w:lang w:eastAsia="zh-CN"/>
              </w:rPr>
            </w:pPr>
          </w:p>
        </w:tc>
        <w:tc>
          <w:tcPr>
            <w:tcW w:w="511" w:type="pct"/>
            <w:noWrap w:val="0"/>
            <w:vAlign w:val="center"/>
          </w:tcPr>
          <w:p w14:paraId="72980604">
            <w:pPr>
              <w:snapToGrid w:val="0"/>
              <w:spacing w:line="240" w:lineRule="auto"/>
              <w:contextualSpacing/>
              <w:rPr>
                <w:rFonts w:hint="eastAsia" w:ascii="仿宋" w:hAnsi="仿宋" w:eastAsia="仿宋" w:cs="仿宋"/>
                <w:color w:val="auto"/>
                <w:spacing w:val="2"/>
                <w:sz w:val="32"/>
                <w:szCs w:val="32"/>
                <w:lang w:val="en-US" w:eastAsia="zh-CN"/>
              </w:rPr>
            </w:pPr>
          </w:p>
        </w:tc>
        <w:tc>
          <w:tcPr>
            <w:tcW w:w="839" w:type="pct"/>
            <w:noWrap w:val="0"/>
            <w:vAlign w:val="center"/>
          </w:tcPr>
          <w:p w14:paraId="6264DAF9">
            <w:pPr>
              <w:snapToGrid w:val="0"/>
              <w:spacing w:line="240" w:lineRule="auto"/>
              <w:contextualSpacing/>
              <w:rPr>
                <w:rFonts w:hint="eastAsia" w:ascii="仿宋" w:hAnsi="仿宋" w:eastAsia="仿宋" w:cs="仿宋"/>
                <w:color w:val="auto"/>
                <w:spacing w:val="2"/>
                <w:sz w:val="32"/>
                <w:szCs w:val="32"/>
                <w:lang w:val="en-US" w:eastAsia="zh-CN"/>
              </w:rPr>
            </w:pPr>
          </w:p>
        </w:tc>
      </w:tr>
      <w:tr w14:paraId="28229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392" w:type="pct"/>
            <w:noWrap w:val="0"/>
            <w:vAlign w:val="center"/>
          </w:tcPr>
          <w:p w14:paraId="2E814991">
            <w:pPr>
              <w:snapToGrid w:val="0"/>
              <w:spacing w:line="240" w:lineRule="auto"/>
              <w:contextualSpacing/>
              <w:rPr>
                <w:rFonts w:hint="default" w:ascii="仿宋" w:hAnsi="仿宋" w:eastAsia="仿宋" w:cs="仿宋"/>
                <w:color w:val="auto"/>
                <w:spacing w:val="2"/>
                <w:sz w:val="32"/>
                <w:szCs w:val="32"/>
                <w:lang w:val="en-US" w:eastAsia="zh-CN"/>
              </w:rPr>
            </w:pPr>
          </w:p>
        </w:tc>
        <w:tc>
          <w:tcPr>
            <w:tcW w:w="3256" w:type="pct"/>
            <w:noWrap w:val="0"/>
            <w:vAlign w:val="center"/>
          </w:tcPr>
          <w:p w14:paraId="4BEDD5F8">
            <w:pPr>
              <w:snapToGrid w:val="0"/>
              <w:spacing w:line="240" w:lineRule="auto"/>
              <w:contextualSpacing/>
              <w:rPr>
                <w:rFonts w:hint="eastAsia" w:ascii="仿宋" w:hAnsi="仿宋" w:eastAsia="仿宋" w:cs="仿宋"/>
                <w:color w:val="auto"/>
                <w:spacing w:val="2"/>
                <w:sz w:val="32"/>
                <w:szCs w:val="32"/>
                <w:lang w:val="en-US" w:eastAsia="zh-CN"/>
              </w:rPr>
            </w:pPr>
          </w:p>
        </w:tc>
        <w:tc>
          <w:tcPr>
            <w:tcW w:w="511" w:type="pct"/>
            <w:noWrap w:val="0"/>
            <w:vAlign w:val="center"/>
          </w:tcPr>
          <w:p w14:paraId="1F4F69D6">
            <w:pPr>
              <w:snapToGrid w:val="0"/>
              <w:spacing w:line="240" w:lineRule="auto"/>
              <w:contextualSpacing/>
              <w:rPr>
                <w:rFonts w:hint="eastAsia" w:ascii="仿宋" w:hAnsi="仿宋" w:eastAsia="仿宋" w:cs="仿宋"/>
                <w:color w:val="auto"/>
                <w:spacing w:val="2"/>
                <w:sz w:val="32"/>
                <w:szCs w:val="32"/>
                <w:lang w:eastAsia="zh-CN"/>
              </w:rPr>
            </w:pPr>
          </w:p>
        </w:tc>
        <w:tc>
          <w:tcPr>
            <w:tcW w:w="839" w:type="pct"/>
            <w:noWrap w:val="0"/>
            <w:vAlign w:val="center"/>
          </w:tcPr>
          <w:p w14:paraId="56F03F65">
            <w:pPr>
              <w:snapToGrid w:val="0"/>
              <w:spacing w:line="240" w:lineRule="auto"/>
              <w:contextualSpacing/>
              <w:rPr>
                <w:rFonts w:hint="eastAsia" w:ascii="仿宋" w:hAnsi="仿宋" w:eastAsia="仿宋" w:cs="仿宋"/>
                <w:color w:val="auto"/>
                <w:spacing w:val="2"/>
                <w:sz w:val="32"/>
                <w:szCs w:val="32"/>
                <w:lang w:eastAsia="zh-CN"/>
              </w:rPr>
            </w:pPr>
          </w:p>
        </w:tc>
      </w:tr>
      <w:tr w14:paraId="5D3B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92" w:type="pct"/>
            <w:noWrap w:val="0"/>
            <w:vAlign w:val="center"/>
          </w:tcPr>
          <w:p w14:paraId="6347D034">
            <w:pPr>
              <w:snapToGrid w:val="0"/>
              <w:spacing w:line="240" w:lineRule="auto"/>
              <w:contextualSpacing/>
              <w:rPr>
                <w:rFonts w:hint="eastAsia" w:ascii="仿宋" w:hAnsi="仿宋" w:eastAsia="仿宋" w:cs="仿宋"/>
                <w:color w:val="auto"/>
                <w:spacing w:val="2"/>
                <w:sz w:val="32"/>
                <w:szCs w:val="32"/>
                <w:lang w:eastAsia="zh-CN"/>
              </w:rPr>
            </w:pPr>
          </w:p>
        </w:tc>
        <w:tc>
          <w:tcPr>
            <w:tcW w:w="3256" w:type="pct"/>
            <w:noWrap w:val="0"/>
            <w:vAlign w:val="center"/>
          </w:tcPr>
          <w:p w14:paraId="6AC71881">
            <w:pPr>
              <w:snapToGrid w:val="0"/>
              <w:spacing w:line="240" w:lineRule="auto"/>
              <w:contextualSpacing/>
              <w:rPr>
                <w:rFonts w:hint="eastAsia" w:ascii="仿宋" w:hAnsi="仿宋" w:eastAsia="仿宋" w:cs="仿宋"/>
                <w:color w:val="auto"/>
                <w:spacing w:val="2"/>
                <w:sz w:val="32"/>
                <w:szCs w:val="32"/>
                <w:lang w:val="en-US" w:eastAsia="zh-CN"/>
              </w:rPr>
            </w:pPr>
          </w:p>
        </w:tc>
        <w:tc>
          <w:tcPr>
            <w:tcW w:w="511" w:type="pct"/>
            <w:noWrap w:val="0"/>
            <w:vAlign w:val="center"/>
          </w:tcPr>
          <w:p w14:paraId="181B9554">
            <w:pPr>
              <w:snapToGrid w:val="0"/>
              <w:spacing w:line="240" w:lineRule="auto"/>
              <w:contextualSpacing/>
              <w:rPr>
                <w:rFonts w:hint="eastAsia" w:ascii="仿宋" w:hAnsi="仿宋" w:eastAsia="仿宋" w:cs="仿宋"/>
                <w:color w:val="auto"/>
                <w:spacing w:val="2"/>
                <w:sz w:val="32"/>
                <w:szCs w:val="32"/>
                <w:lang w:eastAsia="zh-CN"/>
              </w:rPr>
            </w:pPr>
          </w:p>
        </w:tc>
        <w:tc>
          <w:tcPr>
            <w:tcW w:w="839" w:type="pct"/>
            <w:noWrap w:val="0"/>
            <w:vAlign w:val="center"/>
          </w:tcPr>
          <w:p w14:paraId="0A6B7EED">
            <w:pPr>
              <w:snapToGrid w:val="0"/>
              <w:spacing w:line="240" w:lineRule="auto"/>
              <w:contextualSpacing/>
              <w:rPr>
                <w:rFonts w:hint="eastAsia" w:ascii="仿宋" w:hAnsi="仿宋" w:eastAsia="仿宋" w:cs="仿宋"/>
                <w:color w:val="auto"/>
                <w:spacing w:val="2"/>
                <w:sz w:val="32"/>
                <w:szCs w:val="32"/>
                <w:lang w:eastAsia="zh-CN"/>
              </w:rPr>
            </w:pPr>
          </w:p>
        </w:tc>
      </w:tr>
      <w:tr w14:paraId="13CC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92" w:type="pct"/>
            <w:noWrap w:val="0"/>
            <w:vAlign w:val="center"/>
          </w:tcPr>
          <w:p w14:paraId="6C97E152">
            <w:pPr>
              <w:snapToGrid w:val="0"/>
              <w:spacing w:line="240" w:lineRule="auto"/>
              <w:contextualSpacing/>
              <w:rPr>
                <w:rFonts w:hint="default" w:ascii="仿宋" w:hAnsi="仿宋" w:eastAsia="仿宋" w:cs="仿宋"/>
                <w:color w:val="auto"/>
                <w:spacing w:val="2"/>
                <w:sz w:val="32"/>
                <w:szCs w:val="32"/>
                <w:lang w:val="en-US" w:eastAsia="zh-CN"/>
              </w:rPr>
            </w:pPr>
          </w:p>
        </w:tc>
        <w:tc>
          <w:tcPr>
            <w:tcW w:w="3256" w:type="pct"/>
            <w:noWrap w:val="0"/>
            <w:vAlign w:val="center"/>
          </w:tcPr>
          <w:p w14:paraId="3CC69F2B">
            <w:pPr>
              <w:snapToGrid w:val="0"/>
              <w:spacing w:line="240" w:lineRule="auto"/>
              <w:contextualSpacing/>
              <w:rPr>
                <w:rFonts w:hint="default" w:ascii="仿宋" w:hAnsi="仿宋" w:eastAsia="仿宋" w:cs="仿宋"/>
                <w:color w:val="auto"/>
                <w:spacing w:val="2"/>
                <w:sz w:val="32"/>
                <w:szCs w:val="32"/>
                <w:lang w:val="en-US" w:eastAsia="zh-CN"/>
              </w:rPr>
            </w:pPr>
          </w:p>
        </w:tc>
        <w:tc>
          <w:tcPr>
            <w:tcW w:w="511" w:type="pct"/>
            <w:noWrap w:val="0"/>
            <w:vAlign w:val="center"/>
          </w:tcPr>
          <w:p w14:paraId="70DAD64F">
            <w:pPr>
              <w:snapToGrid w:val="0"/>
              <w:spacing w:line="240" w:lineRule="auto"/>
              <w:contextualSpacing/>
              <w:rPr>
                <w:rFonts w:hint="default" w:ascii="仿宋" w:hAnsi="仿宋" w:eastAsia="仿宋" w:cs="仿宋"/>
                <w:color w:val="auto"/>
                <w:spacing w:val="2"/>
                <w:sz w:val="32"/>
                <w:szCs w:val="32"/>
                <w:lang w:val="en-US" w:eastAsia="zh-CN"/>
              </w:rPr>
            </w:pPr>
          </w:p>
        </w:tc>
        <w:tc>
          <w:tcPr>
            <w:tcW w:w="839" w:type="pct"/>
            <w:noWrap w:val="0"/>
            <w:vAlign w:val="center"/>
          </w:tcPr>
          <w:p w14:paraId="7BFAF613">
            <w:pPr>
              <w:snapToGrid w:val="0"/>
              <w:spacing w:line="240" w:lineRule="auto"/>
              <w:contextualSpacing/>
              <w:rPr>
                <w:rFonts w:hint="default" w:ascii="仿宋" w:hAnsi="仿宋" w:eastAsia="仿宋" w:cs="仿宋"/>
                <w:color w:val="auto"/>
                <w:spacing w:val="2"/>
                <w:sz w:val="32"/>
                <w:szCs w:val="32"/>
                <w:lang w:val="en-US" w:eastAsia="zh-CN"/>
              </w:rPr>
            </w:pPr>
          </w:p>
        </w:tc>
      </w:tr>
    </w:tbl>
    <w:p w14:paraId="0C144795">
      <w:pPr>
        <w:pStyle w:val="5"/>
        <w:rPr>
          <w:rFonts w:hint="eastAsia" w:ascii="仿宋" w:hAnsi="仿宋" w:eastAsia="仿宋" w:cs="仿宋"/>
          <w:color w:val="auto"/>
          <w:sz w:val="30"/>
          <w:szCs w:val="30"/>
          <w:highlight w:val="none"/>
          <w:lang w:eastAsia="zh-CN"/>
        </w:rPr>
      </w:pPr>
    </w:p>
    <w:p w14:paraId="5B02DBCE">
      <w:pPr>
        <w:autoSpaceDN w:val="0"/>
        <w:spacing w:line="240" w:lineRule="auto"/>
        <w:ind w:firstLine="6560" w:firstLineChars="2050"/>
        <w:rPr>
          <w:rFonts w:hint="eastAsia" w:ascii="仿宋" w:hAnsi="仿宋" w:eastAsia="仿宋" w:cs="仿宋"/>
          <w:color w:val="auto"/>
          <w:kern w:val="2"/>
          <w:sz w:val="32"/>
          <w:szCs w:val="32"/>
        </w:rPr>
      </w:pPr>
    </w:p>
    <w:p w14:paraId="3B727D9B">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14:paraId="523A648E">
      <w:pPr>
        <w:pStyle w:val="5"/>
        <w:jc w:val="center"/>
        <w:rPr>
          <w:rFonts w:hint="eastAsia" w:ascii="黑体" w:hAnsi="黑体" w:eastAsia="黑体" w:cs="黑体"/>
          <w:color w:val="auto"/>
          <w:kern w:val="2"/>
          <w:sz w:val="36"/>
          <w:szCs w:val="36"/>
          <w:lang w:val="en-US" w:eastAsia="zh-CN" w:bidi="ar-SA"/>
        </w:rPr>
      </w:pPr>
      <w:r>
        <w:rPr>
          <w:rFonts w:hint="eastAsia" w:ascii="黑体" w:hAnsi="黑体" w:eastAsia="黑体" w:cs="黑体"/>
          <w:color w:val="auto"/>
          <w:kern w:val="2"/>
          <w:sz w:val="36"/>
          <w:szCs w:val="36"/>
          <w:lang w:val="en-US" w:eastAsia="zh-CN" w:bidi="ar-SA"/>
        </w:rPr>
        <w:t>第五章  采购项目技术、服务及其他商务要求</w:t>
      </w:r>
    </w:p>
    <w:p w14:paraId="72D33233">
      <w:pPr>
        <w:pStyle w:val="5"/>
        <w:rPr>
          <w:rFonts w:hint="eastAsia" w:ascii="黑体" w:hAnsi="黑体" w:eastAsia="黑体" w:cs="黑体"/>
          <w:color w:val="auto"/>
          <w:lang w:val="en-US" w:eastAsia="zh-CN"/>
        </w:rPr>
      </w:pPr>
    </w:p>
    <w:p w14:paraId="2B60258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一、项目采购清单、技术参数及要求（实质性要求）</w:t>
      </w:r>
    </w:p>
    <w:tbl>
      <w:tblPr>
        <w:tblStyle w:val="18"/>
        <w:tblW w:w="9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89"/>
        <w:gridCol w:w="4536"/>
        <w:gridCol w:w="870"/>
        <w:gridCol w:w="911"/>
        <w:gridCol w:w="997"/>
        <w:gridCol w:w="1065"/>
      </w:tblGrid>
      <w:tr w14:paraId="4921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2CA1C929">
            <w:pPr>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789" w:type="dxa"/>
            <w:vAlign w:val="center"/>
          </w:tcPr>
          <w:p w14:paraId="0A908E0B">
            <w:pPr>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品名</w:t>
            </w:r>
          </w:p>
        </w:tc>
        <w:tc>
          <w:tcPr>
            <w:tcW w:w="4536" w:type="dxa"/>
            <w:vAlign w:val="center"/>
          </w:tcPr>
          <w:p w14:paraId="2431EE41">
            <w:pPr>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技术参数及要求</w:t>
            </w:r>
          </w:p>
        </w:tc>
        <w:tc>
          <w:tcPr>
            <w:tcW w:w="870" w:type="dxa"/>
            <w:vAlign w:val="center"/>
          </w:tcPr>
          <w:p w14:paraId="01150778">
            <w:pPr>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rPr>
              <w:t>单</w:t>
            </w:r>
            <w:r>
              <w:rPr>
                <w:rFonts w:hint="eastAsia" w:ascii="仿宋" w:hAnsi="仿宋" w:eastAsia="仿宋" w:cs="仿宋"/>
                <w:b w:val="0"/>
                <w:bCs w:val="0"/>
                <w:color w:val="auto"/>
                <w:sz w:val="24"/>
                <w:szCs w:val="24"/>
                <w:vertAlign w:val="baseline"/>
                <w:lang w:val="en-US" w:eastAsia="zh-CN"/>
              </w:rPr>
              <w:t>桶  重量（</w:t>
            </w:r>
            <w:r>
              <w:rPr>
                <w:rFonts w:hint="eastAsia" w:ascii="仿宋" w:hAnsi="仿宋" w:eastAsia="仿宋" w:cs="仿宋"/>
                <w:b w:val="0"/>
                <w:bCs w:val="0"/>
                <w:color w:val="auto"/>
                <w:sz w:val="21"/>
                <w:szCs w:val="21"/>
                <w:vertAlign w:val="baseline"/>
              </w:rPr>
              <w:t>KG /</w:t>
            </w:r>
            <w:r>
              <w:rPr>
                <w:rFonts w:hint="eastAsia" w:ascii="仿宋" w:hAnsi="仿宋" w:eastAsia="仿宋" w:cs="仿宋"/>
                <w:b w:val="0"/>
                <w:bCs w:val="0"/>
                <w:color w:val="auto"/>
                <w:sz w:val="21"/>
                <w:szCs w:val="21"/>
                <w:vertAlign w:val="baseline"/>
                <w:lang w:val="en-US" w:eastAsia="zh-CN"/>
              </w:rPr>
              <w:t>桶</w:t>
            </w:r>
            <w:r>
              <w:rPr>
                <w:rFonts w:hint="eastAsia" w:ascii="仿宋" w:hAnsi="仿宋" w:eastAsia="仿宋" w:cs="仿宋"/>
                <w:b w:val="0"/>
                <w:bCs w:val="0"/>
                <w:color w:val="auto"/>
                <w:sz w:val="24"/>
                <w:szCs w:val="24"/>
                <w:vertAlign w:val="baseline"/>
                <w:lang w:val="en-US" w:eastAsia="zh-CN"/>
              </w:rPr>
              <w:t>）</w:t>
            </w:r>
          </w:p>
        </w:tc>
        <w:tc>
          <w:tcPr>
            <w:tcW w:w="911" w:type="dxa"/>
            <w:vAlign w:val="center"/>
          </w:tcPr>
          <w:p w14:paraId="3AB648F7">
            <w:pPr>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预计年使用量（</w:t>
            </w:r>
            <w:r>
              <w:rPr>
                <w:rFonts w:hint="eastAsia" w:ascii="仿宋" w:hAnsi="仿宋" w:eastAsia="仿宋" w:cs="仿宋"/>
                <w:b w:val="0"/>
                <w:bCs w:val="0"/>
                <w:color w:val="auto"/>
                <w:sz w:val="24"/>
                <w:szCs w:val="24"/>
                <w:vertAlign w:val="baseline"/>
                <w:lang w:val="en-US" w:eastAsia="zh-CN"/>
              </w:rPr>
              <w:t>桶</w:t>
            </w:r>
            <w:r>
              <w:rPr>
                <w:rFonts w:hint="eastAsia" w:ascii="仿宋" w:hAnsi="仿宋" w:eastAsia="仿宋" w:cs="仿宋"/>
                <w:b w:val="0"/>
                <w:bCs w:val="0"/>
                <w:color w:val="auto"/>
                <w:sz w:val="24"/>
                <w:szCs w:val="24"/>
                <w:vertAlign w:val="baseline"/>
              </w:rPr>
              <w:t>）</w:t>
            </w:r>
          </w:p>
        </w:tc>
        <w:tc>
          <w:tcPr>
            <w:tcW w:w="997" w:type="dxa"/>
            <w:vAlign w:val="center"/>
          </w:tcPr>
          <w:p w14:paraId="47119EF3">
            <w:pPr>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最高限价</w:t>
            </w:r>
            <w:r>
              <w:rPr>
                <w:rFonts w:hint="eastAsia" w:ascii="仿宋" w:hAnsi="仿宋" w:eastAsia="仿宋" w:cs="仿宋"/>
                <w:b w:val="0"/>
                <w:bCs w:val="0"/>
                <w:color w:val="auto"/>
                <w:sz w:val="24"/>
                <w:szCs w:val="24"/>
                <w:vertAlign w:val="baseline"/>
              </w:rPr>
              <w:t>（</w:t>
            </w:r>
            <w:r>
              <w:rPr>
                <w:rFonts w:hint="eastAsia" w:ascii="仿宋" w:hAnsi="仿宋" w:eastAsia="仿宋" w:cs="仿宋"/>
                <w:b w:val="0"/>
                <w:bCs w:val="0"/>
                <w:color w:val="auto"/>
                <w:sz w:val="24"/>
                <w:szCs w:val="24"/>
                <w:vertAlign w:val="baseline"/>
                <w:lang w:val="en-US" w:eastAsia="zh-CN"/>
              </w:rPr>
              <w:t>元/桶</w:t>
            </w:r>
            <w:r>
              <w:rPr>
                <w:rFonts w:hint="eastAsia" w:ascii="仿宋" w:hAnsi="仿宋" w:eastAsia="仿宋" w:cs="仿宋"/>
                <w:b w:val="0"/>
                <w:bCs w:val="0"/>
                <w:color w:val="auto"/>
                <w:sz w:val="24"/>
                <w:szCs w:val="24"/>
                <w:vertAlign w:val="baseline"/>
              </w:rPr>
              <w:t>）</w:t>
            </w:r>
          </w:p>
        </w:tc>
        <w:tc>
          <w:tcPr>
            <w:tcW w:w="1065" w:type="dxa"/>
            <w:vAlign w:val="center"/>
          </w:tcPr>
          <w:p w14:paraId="5EFA3277">
            <w:pPr>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年预算金额（元）</w:t>
            </w:r>
          </w:p>
        </w:tc>
      </w:tr>
      <w:tr w14:paraId="4C7B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14:paraId="2CAE67BB">
            <w:pPr>
              <w:jc w:val="center"/>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w:t>
            </w:r>
          </w:p>
        </w:tc>
        <w:tc>
          <w:tcPr>
            <w:tcW w:w="789" w:type="dxa"/>
            <w:vAlign w:val="center"/>
          </w:tcPr>
          <w:p w14:paraId="15C30475">
            <w:pPr>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医</w:t>
            </w:r>
            <w:r>
              <w:rPr>
                <w:rFonts w:hint="eastAsia" w:ascii="仿宋" w:hAnsi="仿宋" w:eastAsia="仿宋" w:cs="仿宋"/>
                <w:b w:val="0"/>
                <w:bCs w:val="0"/>
                <w:color w:val="auto"/>
                <w:sz w:val="24"/>
                <w:szCs w:val="24"/>
                <w:vertAlign w:val="baseline"/>
              </w:rPr>
              <w:t>用</w:t>
            </w:r>
            <w:r>
              <w:rPr>
                <w:rFonts w:hint="eastAsia" w:ascii="仿宋" w:hAnsi="仿宋" w:eastAsia="仿宋" w:cs="仿宋"/>
                <w:b w:val="0"/>
                <w:bCs w:val="0"/>
                <w:color w:val="auto"/>
                <w:sz w:val="24"/>
                <w:szCs w:val="24"/>
                <w:vertAlign w:val="baseline"/>
                <w:lang w:val="en-US" w:eastAsia="zh-CN"/>
              </w:rPr>
              <w:t xml:space="preserve">   </w:t>
            </w:r>
            <w:r>
              <w:rPr>
                <w:rFonts w:hint="eastAsia" w:ascii="仿宋" w:hAnsi="仿宋" w:eastAsia="仿宋" w:cs="仿宋"/>
                <w:b w:val="0"/>
                <w:bCs w:val="0"/>
                <w:color w:val="auto"/>
                <w:sz w:val="24"/>
                <w:szCs w:val="24"/>
                <w:vertAlign w:val="baseline"/>
              </w:rPr>
              <w:t>洗衣粉</w:t>
            </w:r>
          </w:p>
        </w:tc>
        <w:tc>
          <w:tcPr>
            <w:tcW w:w="4536" w:type="dxa"/>
            <w:vAlign w:val="top"/>
          </w:tcPr>
          <w:p w14:paraId="652DA129">
            <w:pPr>
              <w:numPr>
                <w:ilvl w:val="0"/>
                <w:numId w:val="0"/>
              </w:numPr>
              <w:jc w:val="left"/>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rPr>
              <w:t>符合</w:t>
            </w:r>
            <w:r>
              <w:rPr>
                <w:rFonts w:hint="eastAsia" w:ascii="仿宋" w:hAnsi="仿宋" w:eastAsia="仿宋" w:cs="仿宋"/>
                <w:b w:val="0"/>
                <w:bCs w:val="0"/>
                <w:color w:val="auto"/>
                <w:sz w:val="24"/>
                <w:szCs w:val="24"/>
                <w:vertAlign w:val="baseline"/>
                <w:lang w:val="en-US" w:eastAsia="zh-CN"/>
              </w:rPr>
              <w:t>或优于</w:t>
            </w:r>
            <w:r>
              <w:rPr>
                <w:rFonts w:hint="eastAsia" w:ascii="仿宋" w:hAnsi="仿宋" w:eastAsia="仿宋" w:cs="仿宋"/>
                <w:b w:val="0"/>
                <w:bCs w:val="0"/>
                <w:color w:val="auto"/>
                <w:sz w:val="24"/>
                <w:szCs w:val="24"/>
                <w:vertAlign w:val="baseline"/>
              </w:rPr>
              <w:t>GB/T13171.</w:t>
            </w:r>
            <w:r>
              <w:rPr>
                <w:rFonts w:hint="eastAsia" w:ascii="仿宋" w:hAnsi="仿宋" w:eastAsia="仿宋" w:cs="仿宋"/>
                <w:b w:val="0"/>
                <w:bCs w:val="0"/>
                <w:color w:val="auto"/>
                <w:sz w:val="24"/>
                <w:szCs w:val="24"/>
                <w:vertAlign w:val="baseline"/>
                <w:lang w:val="en-US" w:eastAsia="zh-CN"/>
              </w:rPr>
              <w:t>1</w:t>
            </w:r>
            <w:r>
              <w:rPr>
                <w:rFonts w:hint="eastAsia" w:ascii="仿宋" w:hAnsi="仿宋" w:eastAsia="仿宋" w:cs="仿宋"/>
                <w:b w:val="0"/>
                <w:bCs w:val="0"/>
                <w:color w:val="auto"/>
                <w:sz w:val="24"/>
                <w:szCs w:val="24"/>
                <w:vertAlign w:val="baseline"/>
              </w:rPr>
              <w:t>-</w:t>
            </w:r>
            <w:r>
              <w:rPr>
                <w:rFonts w:hint="eastAsia" w:ascii="仿宋" w:hAnsi="仿宋" w:eastAsia="仿宋" w:cs="仿宋"/>
                <w:b w:val="0"/>
                <w:bCs w:val="0"/>
                <w:color w:val="auto"/>
                <w:sz w:val="24"/>
                <w:szCs w:val="24"/>
                <w:vertAlign w:val="baseline"/>
                <w:lang w:val="en-US" w:eastAsia="zh-CN"/>
              </w:rPr>
              <w:t>2022</w:t>
            </w:r>
            <w:r>
              <w:rPr>
                <w:rFonts w:hint="eastAsia" w:ascii="仿宋" w:hAnsi="仿宋" w:eastAsia="仿宋" w:cs="仿宋"/>
                <w:b w:val="0"/>
                <w:bCs w:val="0"/>
                <w:color w:val="auto"/>
                <w:sz w:val="24"/>
                <w:szCs w:val="24"/>
                <w:vertAlign w:val="baseline"/>
              </w:rPr>
              <w:t>《洗衣粉（无磷型）》WL-A标准</w:t>
            </w:r>
            <w:r>
              <w:rPr>
                <w:rFonts w:hint="eastAsia" w:ascii="仿宋" w:hAnsi="仿宋" w:eastAsia="仿宋" w:cs="仿宋"/>
                <w:b w:val="0"/>
                <w:bCs w:val="0"/>
                <w:color w:val="auto"/>
                <w:sz w:val="24"/>
                <w:szCs w:val="24"/>
                <w:vertAlign w:val="baseline"/>
                <w:lang w:eastAsia="zh-CN"/>
              </w:rPr>
              <w:t>：</w:t>
            </w:r>
          </w:p>
          <w:p w14:paraId="26A41807">
            <w:pPr>
              <w:numPr>
                <w:ilvl w:val="0"/>
                <w:numId w:val="2"/>
              </w:numPr>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外观：不结团的粉状或粒状</w:t>
            </w:r>
          </w:p>
          <w:p w14:paraId="47593495">
            <w:pPr>
              <w:numPr>
                <w:ilvl w:val="0"/>
                <w:numId w:val="2"/>
              </w:numPr>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 xml:space="preserve">表观密度(g/cm³)：≥0.3 </w:t>
            </w:r>
          </w:p>
          <w:p w14:paraId="4C68AB9F">
            <w:pPr>
              <w:numPr>
                <w:ilvl w:val="0"/>
                <w:numId w:val="0"/>
              </w:numPr>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3.总活性物含量（%）：≥11</w:t>
            </w:r>
          </w:p>
          <w:p w14:paraId="3E89BBE0">
            <w:pPr>
              <w:numPr>
                <w:ilvl w:val="0"/>
                <w:numId w:val="0"/>
              </w:numPr>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4.总五氧化二磷含量（%）：≤0.5</w:t>
            </w:r>
          </w:p>
          <w:p w14:paraId="3DAD9B82">
            <w:pPr>
              <w:numPr>
                <w:ilvl w:val="0"/>
                <w:numId w:val="0"/>
              </w:numPr>
              <w:jc w:val="left"/>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5.游离碱（以NaOH计）含量（%）</w:t>
            </w:r>
            <w:r>
              <w:rPr>
                <w:rFonts w:hint="eastAsia" w:ascii="仿宋" w:hAnsi="仿宋" w:eastAsia="仿宋" w:cs="仿宋"/>
                <w:b w:val="0"/>
                <w:bCs w:val="0"/>
                <w:color w:val="auto"/>
                <w:sz w:val="24"/>
                <w:szCs w:val="24"/>
                <w:vertAlign w:val="baseline"/>
              </w:rPr>
              <w:t xml:space="preserve"> </w:t>
            </w:r>
            <w:r>
              <w:rPr>
                <w:rFonts w:hint="eastAsia" w:ascii="仿宋" w:hAnsi="仿宋" w:eastAsia="仿宋" w:cs="仿宋"/>
                <w:b w:val="0"/>
                <w:bCs w:val="0"/>
                <w:color w:val="auto"/>
                <w:sz w:val="24"/>
                <w:szCs w:val="24"/>
                <w:vertAlign w:val="baseline"/>
                <w:lang w:val="en-US" w:eastAsia="zh-CN"/>
              </w:rPr>
              <w:t>：≤30</w:t>
            </w:r>
            <w:r>
              <w:rPr>
                <w:rFonts w:hint="eastAsia" w:ascii="仿宋" w:hAnsi="仿宋" w:eastAsia="仿宋" w:cs="仿宋"/>
                <w:b w:val="0"/>
                <w:bCs w:val="0"/>
                <w:color w:val="auto"/>
                <w:sz w:val="24"/>
                <w:szCs w:val="24"/>
                <w:vertAlign w:val="baseline"/>
              </w:rPr>
              <w:t xml:space="preserve">  </w:t>
            </w:r>
          </w:p>
          <w:p w14:paraId="151355A1">
            <w:pPr>
              <w:numPr>
                <w:ilvl w:val="0"/>
                <w:numId w:val="0"/>
              </w:numPr>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6.PH(0.1%溶液，25</w:t>
            </w:r>
            <w:r>
              <w:rPr>
                <w:rFonts w:hint="eastAsia" w:ascii="仿宋" w:hAnsi="仿宋" w:eastAsia="仿宋" w:cs="仿宋"/>
                <w:b w:val="0"/>
                <w:bCs w:val="0"/>
                <w:color w:val="auto"/>
                <w:sz w:val="24"/>
                <w:szCs w:val="24"/>
                <w:vertAlign w:val="baseline"/>
              </w:rPr>
              <w:t>℃</w:t>
            </w:r>
            <w:r>
              <w:rPr>
                <w:rFonts w:hint="eastAsia" w:ascii="仿宋" w:hAnsi="仿宋" w:eastAsia="仿宋" w:cs="仿宋"/>
                <w:b w:val="0"/>
                <w:bCs w:val="0"/>
                <w:color w:val="auto"/>
                <w:sz w:val="24"/>
                <w:szCs w:val="24"/>
                <w:vertAlign w:val="baseline"/>
                <w:lang w:val="en-US" w:eastAsia="zh-CN"/>
              </w:rPr>
              <w:t>)：≤12</w:t>
            </w:r>
            <w:r>
              <w:rPr>
                <w:rFonts w:hint="eastAsia" w:ascii="仿宋" w:hAnsi="仿宋" w:eastAsia="仿宋" w:cs="仿宋"/>
                <w:b w:val="0"/>
                <w:bCs w:val="0"/>
                <w:color w:val="auto"/>
                <w:sz w:val="24"/>
                <w:szCs w:val="24"/>
                <w:vertAlign w:val="baseline"/>
              </w:rPr>
              <w:t xml:space="preserve">                                                                                                                                           </w:t>
            </w:r>
            <w:r>
              <w:rPr>
                <w:rFonts w:hint="eastAsia" w:ascii="仿宋" w:hAnsi="仿宋" w:eastAsia="仿宋" w:cs="仿宋"/>
                <w:b w:val="0"/>
                <w:bCs w:val="0"/>
                <w:color w:val="auto"/>
                <w:sz w:val="24"/>
                <w:szCs w:val="24"/>
                <w:vertAlign w:val="baseline"/>
                <w:lang w:val="en-US" w:eastAsia="zh-CN"/>
              </w:rPr>
              <w:t>7.</w:t>
            </w:r>
            <w:r>
              <w:rPr>
                <w:rFonts w:hint="eastAsia" w:ascii="仿宋" w:hAnsi="仿宋" w:eastAsia="仿宋" w:cs="仿宋"/>
                <w:b w:val="0"/>
                <w:bCs w:val="0"/>
                <w:color w:val="auto"/>
                <w:sz w:val="24"/>
                <w:szCs w:val="24"/>
                <w:vertAlign w:val="baseline"/>
              </w:rPr>
              <w:t>规定污布的去污能力</w:t>
            </w:r>
            <w:r>
              <w:rPr>
                <w:rFonts w:hint="eastAsia" w:ascii="仿宋" w:hAnsi="仿宋" w:eastAsia="仿宋" w:cs="仿宋"/>
                <w:b w:val="0"/>
                <w:bCs w:val="0"/>
                <w:color w:val="auto"/>
                <w:sz w:val="24"/>
                <w:szCs w:val="24"/>
                <w:vertAlign w:val="baseline"/>
                <w:lang w:eastAsia="zh-CN"/>
              </w:rPr>
              <w:t>：</w:t>
            </w:r>
            <w:r>
              <w:rPr>
                <w:rFonts w:hint="eastAsia" w:ascii="仿宋" w:hAnsi="仿宋" w:eastAsia="仿宋" w:cs="仿宋"/>
                <w:b w:val="0"/>
                <w:bCs w:val="0"/>
                <w:color w:val="auto"/>
                <w:sz w:val="24"/>
                <w:szCs w:val="24"/>
                <w:vertAlign w:val="baseline"/>
                <w:lang w:val="en-US" w:eastAsia="zh-CN"/>
              </w:rPr>
              <w:t>JB-01、JB-02、JB-03三种试验污布均相当或优于标准洗衣粉去污力</w:t>
            </w:r>
          </w:p>
          <w:p w14:paraId="666ECF22">
            <w:pPr>
              <w:numPr>
                <w:ilvl w:val="0"/>
                <w:numId w:val="0"/>
              </w:numPr>
              <w:jc w:val="left"/>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8.循环洗涤性能：相对标准洗衣粉沉积灰分比值≤3.0；洗后织物外观损伤相当或优于标准洗衣粉</w:t>
            </w:r>
            <w:r>
              <w:rPr>
                <w:rFonts w:hint="eastAsia" w:ascii="仿宋" w:hAnsi="仿宋" w:eastAsia="仿宋" w:cs="仿宋"/>
                <w:b w:val="0"/>
                <w:bCs w:val="0"/>
                <w:color w:val="auto"/>
                <w:sz w:val="24"/>
                <w:szCs w:val="24"/>
                <w:vertAlign w:val="baseline"/>
              </w:rPr>
              <w:t xml:space="preserve">                  </w:t>
            </w:r>
          </w:p>
        </w:tc>
        <w:tc>
          <w:tcPr>
            <w:tcW w:w="870" w:type="dxa"/>
            <w:vAlign w:val="center"/>
          </w:tcPr>
          <w:p w14:paraId="58DAB24D">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25</w:t>
            </w:r>
          </w:p>
        </w:tc>
        <w:tc>
          <w:tcPr>
            <w:tcW w:w="911" w:type="dxa"/>
            <w:vAlign w:val="center"/>
          </w:tcPr>
          <w:p w14:paraId="71A26370">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120</w:t>
            </w:r>
          </w:p>
        </w:tc>
        <w:tc>
          <w:tcPr>
            <w:tcW w:w="997" w:type="dxa"/>
            <w:vAlign w:val="center"/>
          </w:tcPr>
          <w:p w14:paraId="4EDED1BB">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190</w:t>
            </w:r>
          </w:p>
        </w:tc>
        <w:tc>
          <w:tcPr>
            <w:tcW w:w="1065" w:type="dxa"/>
            <w:vAlign w:val="center"/>
          </w:tcPr>
          <w:p w14:paraId="789C82D3">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22800</w:t>
            </w:r>
          </w:p>
        </w:tc>
      </w:tr>
      <w:tr w14:paraId="4799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14:paraId="46E6522E">
            <w:pPr>
              <w:jc w:val="center"/>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w:t>
            </w:r>
          </w:p>
        </w:tc>
        <w:tc>
          <w:tcPr>
            <w:tcW w:w="789" w:type="dxa"/>
            <w:vAlign w:val="center"/>
          </w:tcPr>
          <w:p w14:paraId="593B36BA">
            <w:pPr>
              <w:jc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医用</w:t>
            </w:r>
            <w:r>
              <w:rPr>
                <w:rFonts w:hint="eastAsia" w:ascii="仿宋" w:hAnsi="仿宋" w:eastAsia="仿宋" w:cs="仿宋"/>
                <w:b w:val="0"/>
                <w:bCs w:val="0"/>
                <w:color w:val="auto"/>
                <w:sz w:val="24"/>
                <w:szCs w:val="24"/>
                <w:vertAlign w:val="baseline"/>
              </w:rPr>
              <w:t>氯漂粉</w:t>
            </w:r>
          </w:p>
        </w:tc>
        <w:tc>
          <w:tcPr>
            <w:tcW w:w="4536" w:type="dxa"/>
            <w:vAlign w:val="top"/>
          </w:tcPr>
          <w:p w14:paraId="39B9F49C">
            <w:pPr>
              <w:numPr>
                <w:ilvl w:val="0"/>
                <w:numId w:val="0"/>
              </w:numPr>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1.外观：不结团的粉状或粒状，无明显杂质</w:t>
            </w:r>
          </w:p>
          <w:p w14:paraId="02420DA7">
            <w:pPr>
              <w:numPr>
                <w:ilvl w:val="0"/>
                <w:numId w:val="0"/>
              </w:numPr>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2.气味：有氯气味</w:t>
            </w:r>
          </w:p>
          <w:p w14:paraId="59DA8F20">
            <w:pPr>
              <w:numPr>
                <w:ilvl w:val="0"/>
                <w:numId w:val="0"/>
              </w:numPr>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3.有效氯含量,%：≥20</w:t>
            </w:r>
          </w:p>
          <w:p w14:paraId="56283D04">
            <w:pPr>
              <w:numPr>
                <w:ilvl w:val="0"/>
                <w:numId w:val="0"/>
              </w:numPr>
              <w:jc w:val="left"/>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4.PH(1%水溶液，25</w:t>
            </w:r>
            <w:r>
              <w:rPr>
                <w:rFonts w:hint="eastAsia" w:ascii="仿宋" w:hAnsi="仿宋" w:eastAsia="仿宋" w:cs="仿宋"/>
                <w:b w:val="0"/>
                <w:bCs w:val="0"/>
                <w:color w:val="auto"/>
                <w:sz w:val="24"/>
                <w:szCs w:val="24"/>
                <w:vertAlign w:val="baseline"/>
              </w:rPr>
              <w:t>℃</w:t>
            </w:r>
            <w:r>
              <w:rPr>
                <w:rFonts w:hint="eastAsia" w:ascii="仿宋" w:hAnsi="仿宋" w:eastAsia="仿宋" w:cs="仿宋"/>
                <w:b w:val="0"/>
                <w:bCs w:val="0"/>
                <w:color w:val="auto"/>
                <w:sz w:val="24"/>
                <w:szCs w:val="24"/>
                <w:vertAlign w:val="baseline"/>
                <w:lang w:val="en-US" w:eastAsia="zh-CN"/>
              </w:rPr>
              <w:t>)：6-7</w:t>
            </w:r>
          </w:p>
          <w:p w14:paraId="5588919B">
            <w:pPr>
              <w:numPr>
                <w:ilvl w:val="0"/>
                <w:numId w:val="0"/>
              </w:numPr>
              <w:jc w:val="left"/>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5.总五氧化二磷含量（%）：≤0.5</w:t>
            </w:r>
            <w:r>
              <w:rPr>
                <w:rFonts w:hint="eastAsia" w:ascii="仿宋" w:hAnsi="仿宋" w:eastAsia="仿宋" w:cs="仿宋"/>
                <w:b w:val="0"/>
                <w:bCs w:val="0"/>
                <w:color w:val="auto"/>
                <w:sz w:val="24"/>
                <w:szCs w:val="24"/>
                <w:vertAlign w:val="baseline"/>
              </w:rPr>
              <w:t xml:space="preserve">                                                                                                                          </w:t>
            </w:r>
          </w:p>
        </w:tc>
        <w:tc>
          <w:tcPr>
            <w:tcW w:w="870" w:type="dxa"/>
            <w:vAlign w:val="center"/>
          </w:tcPr>
          <w:p w14:paraId="36BB0FE8">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25</w:t>
            </w:r>
          </w:p>
        </w:tc>
        <w:tc>
          <w:tcPr>
            <w:tcW w:w="911" w:type="dxa"/>
            <w:vAlign w:val="center"/>
          </w:tcPr>
          <w:p w14:paraId="52309C7E">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w:t>
            </w:r>
          </w:p>
        </w:tc>
        <w:tc>
          <w:tcPr>
            <w:tcW w:w="997" w:type="dxa"/>
            <w:vAlign w:val="center"/>
          </w:tcPr>
          <w:p w14:paraId="6555A471">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220</w:t>
            </w:r>
          </w:p>
        </w:tc>
        <w:tc>
          <w:tcPr>
            <w:tcW w:w="1065" w:type="dxa"/>
            <w:vAlign w:val="center"/>
          </w:tcPr>
          <w:p w14:paraId="6525A63A">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4400</w:t>
            </w:r>
          </w:p>
        </w:tc>
      </w:tr>
      <w:tr w14:paraId="7A91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8" w:type="dxa"/>
            <w:vAlign w:val="center"/>
          </w:tcPr>
          <w:p w14:paraId="0734BD50">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3</w:t>
            </w:r>
          </w:p>
        </w:tc>
        <w:tc>
          <w:tcPr>
            <w:tcW w:w="789" w:type="dxa"/>
            <w:vAlign w:val="center"/>
          </w:tcPr>
          <w:p w14:paraId="76274B09">
            <w:pPr>
              <w:jc w:val="both"/>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4"/>
                <w:szCs w:val="24"/>
                <w:vertAlign w:val="baseline"/>
                <w:lang w:val="en-US" w:eastAsia="zh-CN"/>
              </w:rPr>
              <w:t>油污乳化剂</w:t>
            </w:r>
          </w:p>
        </w:tc>
        <w:tc>
          <w:tcPr>
            <w:tcW w:w="4536" w:type="dxa"/>
            <w:vAlign w:val="top"/>
          </w:tcPr>
          <w:p w14:paraId="4135D609">
            <w:pPr>
              <w:numPr>
                <w:ilvl w:val="0"/>
                <w:numId w:val="3"/>
              </w:numPr>
              <w:ind w:left="0" w:leftChars="0" w:firstLine="0" w:firstLineChars="0"/>
              <w:jc w:val="left"/>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外观：无色透明粘稠液体</w:t>
            </w:r>
          </w:p>
          <w:p w14:paraId="2B7A1767">
            <w:pPr>
              <w:numPr>
                <w:ilvl w:val="0"/>
                <w:numId w:val="3"/>
              </w:numPr>
              <w:ind w:left="0" w:leftChars="0" w:firstLine="0" w:firstLineChars="0"/>
              <w:jc w:val="left"/>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气味：无异味</w:t>
            </w:r>
          </w:p>
          <w:p w14:paraId="20C66E20">
            <w:pPr>
              <w:numPr>
                <w:ilvl w:val="0"/>
                <w:numId w:val="3"/>
              </w:numPr>
              <w:ind w:left="0" w:leftChars="0" w:firstLine="0" w:firstLineChars="0"/>
              <w:jc w:val="left"/>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密度</w:t>
            </w:r>
            <w:r>
              <w:rPr>
                <w:rFonts w:hint="eastAsia" w:ascii="仿宋" w:hAnsi="仿宋" w:eastAsia="仿宋" w:cs="仿宋"/>
                <w:b w:val="0"/>
                <w:bCs w:val="0"/>
                <w:color w:val="auto"/>
                <w:sz w:val="24"/>
                <w:szCs w:val="24"/>
                <w:vertAlign w:val="baseline"/>
                <w:lang w:val="en-US" w:eastAsia="zh-CN"/>
              </w:rPr>
              <w:t>(g/cm³)</w:t>
            </w:r>
            <w:r>
              <w:rPr>
                <w:rFonts w:hint="eastAsia" w:ascii="仿宋" w:hAnsi="仿宋" w:eastAsia="仿宋" w:cs="仿宋"/>
                <w:b w:val="0"/>
                <w:bCs w:val="0"/>
                <w:color w:val="auto"/>
                <w:sz w:val="21"/>
                <w:szCs w:val="21"/>
                <w:vertAlign w:val="baseline"/>
                <w:lang w:val="en-US" w:eastAsia="zh-CN"/>
              </w:rPr>
              <w:t>：</w:t>
            </w:r>
            <w:r>
              <w:rPr>
                <w:rFonts w:hint="eastAsia" w:ascii="仿宋" w:hAnsi="仿宋" w:eastAsia="仿宋" w:cs="仿宋"/>
                <w:b w:val="0"/>
                <w:bCs w:val="0"/>
                <w:color w:val="auto"/>
                <w:sz w:val="24"/>
                <w:szCs w:val="24"/>
                <w:vertAlign w:val="baseline"/>
                <w:lang w:val="en-US" w:eastAsia="zh-CN"/>
              </w:rPr>
              <w:t>≤1.05</w:t>
            </w:r>
          </w:p>
          <w:p w14:paraId="653EC28B">
            <w:pPr>
              <w:numPr>
                <w:ilvl w:val="0"/>
                <w:numId w:val="3"/>
              </w:numPr>
              <w:ind w:left="0" w:leftChars="0" w:firstLine="0" w:firstLineChars="0"/>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总活性物质质量分数（%）：≥38</w:t>
            </w:r>
          </w:p>
          <w:p w14:paraId="7C58B4DF">
            <w:pPr>
              <w:numPr>
                <w:ilvl w:val="0"/>
                <w:numId w:val="3"/>
              </w:numPr>
              <w:ind w:left="0" w:leftChars="0" w:firstLine="0" w:firstLineChars="0"/>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PH（1%溶液25℃）：6-7</w:t>
            </w:r>
          </w:p>
          <w:p w14:paraId="1D64F66A">
            <w:pPr>
              <w:numPr>
                <w:ilvl w:val="0"/>
                <w:numId w:val="3"/>
              </w:numPr>
              <w:ind w:left="0" w:leftChars="0" w:firstLine="0" w:firstLineChars="0"/>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总固形物质含量：≥38</w:t>
            </w:r>
          </w:p>
          <w:p w14:paraId="48696A76">
            <w:pPr>
              <w:numPr>
                <w:ilvl w:val="0"/>
                <w:numId w:val="3"/>
              </w:numPr>
              <w:ind w:left="0" w:leftChars="0" w:firstLine="0" w:firstLineChars="0"/>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总五氧化二磷质量分数（%）：≤1.05</w:t>
            </w:r>
          </w:p>
        </w:tc>
        <w:tc>
          <w:tcPr>
            <w:tcW w:w="870" w:type="dxa"/>
            <w:vAlign w:val="center"/>
          </w:tcPr>
          <w:p w14:paraId="0FDA4494">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w:t>
            </w:r>
          </w:p>
        </w:tc>
        <w:tc>
          <w:tcPr>
            <w:tcW w:w="911" w:type="dxa"/>
            <w:vAlign w:val="center"/>
          </w:tcPr>
          <w:p w14:paraId="636A696E">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11</w:t>
            </w:r>
          </w:p>
        </w:tc>
        <w:tc>
          <w:tcPr>
            <w:tcW w:w="997" w:type="dxa"/>
            <w:vAlign w:val="center"/>
          </w:tcPr>
          <w:p w14:paraId="2F22608A">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200</w:t>
            </w:r>
          </w:p>
        </w:tc>
        <w:tc>
          <w:tcPr>
            <w:tcW w:w="1065" w:type="dxa"/>
            <w:vAlign w:val="center"/>
          </w:tcPr>
          <w:p w14:paraId="03F449DC">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2000</w:t>
            </w:r>
          </w:p>
        </w:tc>
      </w:tr>
      <w:tr w14:paraId="5EE9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8" w:type="dxa"/>
            <w:vAlign w:val="center"/>
          </w:tcPr>
          <w:p w14:paraId="29B956D0">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4</w:t>
            </w:r>
          </w:p>
        </w:tc>
        <w:tc>
          <w:tcPr>
            <w:tcW w:w="789" w:type="dxa"/>
            <w:vAlign w:val="center"/>
          </w:tcPr>
          <w:p w14:paraId="37676FC1">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医用氧漂剂</w:t>
            </w:r>
          </w:p>
        </w:tc>
        <w:tc>
          <w:tcPr>
            <w:tcW w:w="4536" w:type="dxa"/>
          </w:tcPr>
          <w:p w14:paraId="63402A82">
            <w:pPr>
              <w:numPr>
                <w:ilvl w:val="0"/>
                <w:numId w:val="4"/>
              </w:numPr>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外观：透明液体</w:t>
            </w:r>
          </w:p>
          <w:p w14:paraId="7A4FCA8A">
            <w:pPr>
              <w:numPr>
                <w:ilvl w:val="0"/>
                <w:numId w:val="4"/>
              </w:numP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气味：无异味</w:t>
            </w:r>
          </w:p>
          <w:p w14:paraId="17CC3C79">
            <w:pPr>
              <w:numPr>
                <w:ilvl w:val="0"/>
                <w:numId w:val="4"/>
              </w:numP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1"/>
                <w:szCs w:val="21"/>
                <w:vertAlign w:val="baseline"/>
                <w:lang w:val="en-US" w:eastAsia="zh-CN"/>
              </w:rPr>
              <w:t>有效氧含量</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b w:val="0"/>
                <w:bCs w:val="0"/>
                <w:color w:val="auto"/>
                <w:sz w:val="21"/>
                <w:szCs w:val="21"/>
                <w:vertAlign w:val="baseline"/>
                <w:lang w:val="en-US" w:eastAsia="zh-CN"/>
              </w:rPr>
              <w:t>：</w:t>
            </w:r>
            <w:r>
              <w:rPr>
                <w:rFonts w:hint="eastAsia" w:ascii="仿宋" w:hAnsi="仿宋" w:eastAsia="仿宋" w:cs="仿宋"/>
                <w:b w:val="0"/>
                <w:bCs w:val="0"/>
                <w:color w:val="auto"/>
                <w:sz w:val="24"/>
                <w:szCs w:val="24"/>
                <w:vertAlign w:val="baseline"/>
                <w:lang w:val="en-US" w:eastAsia="zh-CN"/>
              </w:rPr>
              <w:t>≥12</w:t>
            </w:r>
          </w:p>
          <w:p w14:paraId="25224891">
            <w:pPr>
              <w:numPr>
                <w:ilvl w:val="0"/>
                <w:numId w:val="4"/>
              </w:numP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4"/>
                <w:szCs w:val="24"/>
                <w:vertAlign w:val="baseline"/>
                <w:lang w:val="en-US" w:eastAsia="zh-CN"/>
              </w:rPr>
              <w:t>PH（1%溶液25℃）：3-5</w:t>
            </w:r>
            <w:r>
              <w:rPr>
                <w:rFonts w:hint="eastAsia" w:ascii="仿宋" w:hAnsi="仿宋" w:eastAsia="仿宋" w:cs="仿宋"/>
                <w:b w:val="0"/>
                <w:bCs w:val="0"/>
                <w:color w:val="auto"/>
                <w:sz w:val="24"/>
                <w:szCs w:val="24"/>
                <w:vertAlign w:val="baseline"/>
              </w:rPr>
              <w:t xml:space="preserve"> </w:t>
            </w:r>
          </w:p>
        </w:tc>
        <w:tc>
          <w:tcPr>
            <w:tcW w:w="870" w:type="dxa"/>
            <w:vAlign w:val="center"/>
          </w:tcPr>
          <w:p w14:paraId="1F511724">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w:t>
            </w:r>
          </w:p>
        </w:tc>
        <w:tc>
          <w:tcPr>
            <w:tcW w:w="911" w:type="dxa"/>
            <w:vAlign w:val="center"/>
          </w:tcPr>
          <w:p w14:paraId="6B5FE02B">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w:t>
            </w:r>
          </w:p>
        </w:tc>
        <w:tc>
          <w:tcPr>
            <w:tcW w:w="997" w:type="dxa"/>
            <w:vAlign w:val="center"/>
          </w:tcPr>
          <w:p w14:paraId="08EEAB88">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180</w:t>
            </w:r>
          </w:p>
        </w:tc>
        <w:tc>
          <w:tcPr>
            <w:tcW w:w="1065" w:type="dxa"/>
            <w:vAlign w:val="center"/>
          </w:tcPr>
          <w:p w14:paraId="0FE99363">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3600</w:t>
            </w:r>
          </w:p>
        </w:tc>
      </w:tr>
      <w:tr w14:paraId="5696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8" w:type="dxa"/>
            <w:vAlign w:val="center"/>
          </w:tcPr>
          <w:p w14:paraId="77CCB4DB">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5</w:t>
            </w:r>
          </w:p>
        </w:tc>
        <w:tc>
          <w:tcPr>
            <w:tcW w:w="789" w:type="dxa"/>
            <w:vAlign w:val="center"/>
          </w:tcPr>
          <w:p w14:paraId="4DD460B7">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中和除锈增白酸粉</w:t>
            </w:r>
          </w:p>
        </w:tc>
        <w:tc>
          <w:tcPr>
            <w:tcW w:w="4536" w:type="dxa"/>
          </w:tcPr>
          <w:p w14:paraId="7949493C">
            <w:pPr>
              <w:numPr>
                <w:ilvl w:val="0"/>
                <w:numId w:val="5"/>
              </w:numPr>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外观：不结团/块的粉状</w:t>
            </w:r>
          </w:p>
          <w:p w14:paraId="69BE0889">
            <w:pPr>
              <w:numPr>
                <w:ilvl w:val="0"/>
                <w:numId w:val="5"/>
              </w:numP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气味：无异味</w:t>
            </w:r>
          </w:p>
          <w:p w14:paraId="06A78924">
            <w:pPr>
              <w:numPr>
                <w:ilvl w:val="0"/>
                <w:numId w:val="5"/>
              </w:numP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表观密度</w:t>
            </w:r>
            <w:r>
              <w:rPr>
                <w:rFonts w:hint="eastAsia" w:ascii="仿宋" w:hAnsi="仿宋" w:eastAsia="仿宋" w:cs="仿宋"/>
                <w:b w:val="0"/>
                <w:bCs w:val="0"/>
                <w:color w:val="auto"/>
                <w:sz w:val="24"/>
                <w:szCs w:val="24"/>
                <w:vertAlign w:val="baseline"/>
                <w:lang w:val="en-US" w:eastAsia="zh-CN"/>
              </w:rPr>
              <w:t>(g/cm³)</w:t>
            </w:r>
            <w:r>
              <w:rPr>
                <w:rFonts w:hint="eastAsia" w:ascii="仿宋" w:hAnsi="仿宋" w:eastAsia="仿宋" w:cs="仿宋"/>
                <w:b w:val="0"/>
                <w:bCs w:val="0"/>
                <w:color w:val="auto"/>
                <w:sz w:val="21"/>
                <w:szCs w:val="21"/>
                <w:vertAlign w:val="baseline"/>
                <w:lang w:val="en-US" w:eastAsia="zh-CN"/>
              </w:rPr>
              <w:t>：</w:t>
            </w:r>
            <w:r>
              <w:rPr>
                <w:rFonts w:hint="eastAsia" w:ascii="仿宋" w:hAnsi="仿宋" w:eastAsia="仿宋" w:cs="仿宋"/>
                <w:b w:val="0"/>
                <w:bCs w:val="0"/>
                <w:color w:val="auto"/>
                <w:sz w:val="24"/>
                <w:szCs w:val="24"/>
                <w:vertAlign w:val="baseline"/>
                <w:lang w:val="en-US" w:eastAsia="zh-CN"/>
              </w:rPr>
              <w:t>≥1</w:t>
            </w:r>
          </w:p>
          <w:p w14:paraId="065A7306">
            <w:pPr>
              <w:numPr>
                <w:ilvl w:val="0"/>
                <w:numId w:val="5"/>
              </w:numP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4"/>
                <w:szCs w:val="24"/>
                <w:vertAlign w:val="baseline"/>
                <w:lang w:val="en-US" w:eastAsia="zh-CN"/>
              </w:rPr>
              <w:t>总酸度（以HCI计）（%）</w:t>
            </w:r>
            <w:r>
              <w:rPr>
                <w:rFonts w:hint="eastAsia" w:ascii="仿宋" w:hAnsi="仿宋" w:eastAsia="仿宋" w:cs="仿宋"/>
                <w:b w:val="0"/>
                <w:bCs w:val="0"/>
                <w:color w:val="auto"/>
                <w:sz w:val="21"/>
                <w:szCs w:val="21"/>
                <w:vertAlign w:val="baseline"/>
                <w:lang w:val="en-US" w:eastAsia="zh-CN"/>
              </w:rPr>
              <w:t>：</w:t>
            </w:r>
            <w:r>
              <w:rPr>
                <w:rFonts w:hint="eastAsia" w:ascii="仿宋" w:hAnsi="仿宋" w:eastAsia="仿宋" w:cs="仿宋"/>
                <w:b w:val="0"/>
                <w:bCs w:val="0"/>
                <w:color w:val="auto"/>
                <w:sz w:val="24"/>
                <w:szCs w:val="24"/>
                <w:vertAlign w:val="baseline"/>
                <w:lang w:val="en-US" w:eastAsia="zh-CN"/>
              </w:rPr>
              <w:t>≥19</w:t>
            </w:r>
          </w:p>
        </w:tc>
        <w:tc>
          <w:tcPr>
            <w:tcW w:w="870" w:type="dxa"/>
            <w:vAlign w:val="center"/>
          </w:tcPr>
          <w:p w14:paraId="0B0BBF52">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w:t>
            </w:r>
          </w:p>
        </w:tc>
        <w:tc>
          <w:tcPr>
            <w:tcW w:w="911" w:type="dxa"/>
            <w:vAlign w:val="center"/>
          </w:tcPr>
          <w:p w14:paraId="11C19158">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10</w:t>
            </w:r>
          </w:p>
        </w:tc>
        <w:tc>
          <w:tcPr>
            <w:tcW w:w="997" w:type="dxa"/>
            <w:vAlign w:val="center"/>
          </w:tcPr>
          <w:p w14:paraId="2F773429">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200</w:t>
            </w:r>
          </w:p>
        </w:tc>
        <w:tc>
          <w:tcPr>
            <w:tcW w:w="1065" w:type="dxa"/>
            <w:vAlign w:val="center"/>
          </w:tcPr>
          <w:p w14:paraId="73FF0021">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2000</w:t>
            </w:r>
          </w:p>
        </w:tc>
      </w:tr>
      <w:tr w14:paraId="193F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68" w:type="dxa"/>
          </w:tcPr>
          <w:p w14:paraId="2598E756">
            <w:pPr>
              <w:jc w:val="center"/>
              <w:rPr>
                <w:rFonts w:hint="default" w:ascii="仿宋" w:hAnsi="仿宋" w:eastAsia="仿宋" w:cs="仿宋"/>
                <w:b w:val="0"/>
                <w:bCs w:val="0"/>
                <w:color w:val="auto"/>
                <w:sz w:val="21"/>
                <w:szCs w:val="21"/>
                <w:vertAlign w:val="baseline"/>
                <w:lang w:val="en-US" w:eastAsia="zh-CN"/>
              </w:rPr>
            </w:pPr>
          </w:p>
        </w:tc>
        <w:tc>
          <w:tcPr>
            <w:tcW w:w="789" w:type="dxa"/>
            <w:vAlign w:val="center"/>
          </w:tcPr>
          <w:p w14:paraId="5203748A">
            <w:pPr>
              <w:jc w:val="center"/>
              <w:rPr>
                <w:rFonts w:hint="eastAsia"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合计</w:t>
            </w:r>
          </w:p>
        </w:tc>
        <w:tc>
          <w:tcPr>
            <w:tcW w:w="4536" w:type="dxa"/>
          </w:tcPr>
          <w:p w14:paraId="7A773667">
            <w:pPr>
              <w:rPr>
                <w:rFonts w:hint="eastAsia" w:ascii="仿宋" w:hAnsi="仿宋" w:eastAsia="仿宋" w:cs="仿宋"/>
                <w:b w:val="0"/>
                <w:bCs w:val="0"/>
                <w:color w:val="auto"/>
                <w:sz w:val="21"/>
                <w:szCs w:val="21"/>
                <w:vertAlign w:val="baseline"/>
              </w:rPr>
            </w:pPr>
          </w:p>
        </w:tc>
        <w:tc>
          <w:tcPr>
            <w:tcW w:w="870" w:type="dxa"/>
            <w:vAlign w:val="center"/>
          </w:tcPr>
          <w:p w14:paraId="0FB0767E">
            <w:pPr>
              <w:jc w:val="center"/>
              <w:rPr>
                <w:rFonts w:hint="eastAsia" w:ascii="仿宋" w:hAnsi="仿宋" w:eastAsia="仿宋" w:cs="仿宋"/>
                <w:b w:val="0"/>
                <w:bCs w:val="0"/>
                <w:color w:val="auto"/>
                <w:sz w:val="21"/>
                <w:szCs w:val="21"/>
                <w:vertAlign w:val="baseline"/>
              </w:rPr>
            </w:pPr>
          </w:p>
        </w:tc>
        <w:tc>
          <w:tcPr>
            <w:tcW w:w="911" w:type="dxa"/>
            <w:vAlign w:val="center"/>
          </w:tcPr>
          <w:p w14:paraId="36C97667">
            <w:pPr>
              <w:jc w:val="center"/>
              <w:rPr>
                <w:rFonts w:hint="eastAsia" w:ascii="仿宋" w:hAnsi="仿宋" w:eastAsia="仿宋" w:cs="仿宋"/>
                <w:b w:val="0"/>
                <w:bCs w:val="0"/>
                <w:color w:val="auto"/>
                <w:sz w:val="21"/>
                <w:szCs w:val="21"/>
                <w:vertAlign w:val="baseline"/>
              </w:rPr>
            </w:pPr>
          </w:p>
        </w:tc>
        <w:tc>
          <w:tcPr>
            <w:tcW w:w="997" w:type="dxa"/>
            <w:vAlign w:val="center"/>
          </w:tcPr>
          <w:p w14:paraId="15CFFA41">
            <w:pPr>
              <w:jc w:val="center"/>
              <w:rPr>
                <w:rFonts w:hint="eastAsia" w:ascii="仿宋" w:hAnsi="仿宋" w:eastAsia="仿宋" w:cs="仿宋"/>
                <w:b w:val="0"/>
                <w:bCs w:val="0"/>
                <w:color w:val="auto"/>
                <w:sz w:val="21"/>
                <w:szCs w:val="21"/>
                <w:vertAlign w:val="baseline"/>
              </w:rPr>
            </w:pPr>
          </w:p>
        </w:tc>
        <w:tc>
          <w:tcPr>
            <w:tcW w:w="1065" w:type="dxa"/>
            <w:vAlign w:val="center"/>
          </w:tcPr>
          <w:p w14:paraId="4C5C4B4A">
            <w:pPr>
              <w:jc w:val="center"/>
              <w:rPr>
                <w:rFonts w:hint="default" w:ascii="仿宋" w:hAnsi="仿宋" w:eastAsia="仿宋" w:cs="仿宋"/>
                <w:b w:val="0"/>
                <w:bCs w:val="0"/>
                <w:color w:val="auto"/>
                <w:sz w:val="21"/>
                <w:szCs w:val="21"/>
                <w:vertAlign w:val="baseline"/>
                <w:lang w:val="en-US" w:eastAsia="zh-CN"/>
              </w:rPr>
            </w:pPr>
            <w:r>
              <w:rPr>
                <w:rFonts w:hint="eastAsia" w:ascii="仿宋" w:hAnsi="仿宋" w:eastAsia="仿宋" w:cs="仿宋"/>
                <w:b w:val="0"/>
                <w:bCs w:val="0"/>
                <w:color w:val="auto"/>
                <w:sz w:val="21"/>
                <w:szCs w:val="21"/>
                <w:vertAlign w:val="baseline"/>
                <w:lang w:val="en-US" w:eastAsia="zh-CN"/>
              </w:rPr>
              <w:t>35000</w:t>
            </w:r>
          </w:p>
        </w:tc>
      </w:tr>
    </w:tbl>
    <w:p w14:paraId="411A740E">
      <w:pPr>
        <w:numPr>
          <w:ilvl w:val="0"/>
          <w:numId w:val="0"/>
        </w:numPr>
        <w:spacing w:line="560" w:lineRule="exact"/>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备注：</w:t>
      </w:r>
    </w:p>
    <w:p w14:paraId="4B914877">
      <w:pPr>
        <w:numPr>
          <w:ilvl w:val="0"/>
          <w:numId w:val="0"/>
        </w:numPr>
        <w:spacing w:line="560" w:lineRule="exact"/>
        <w:ind w:left="0" w:leftChars="0"/>
        <w:rPr>
          <w:rFonts w:hint="eastAsia" w:ascii="仿宋" w:hAnsi="仿宋" w:eastAsia="仿宋" w:cs="仿宋"/>
          <w:color w:val="auto"/>
          <w:sz w:val="21"/>
          <w:szCs w:val="21"/>
          <w:lang w:eastAsia="zh-CN"/>
        </w:rPr>
      </w:pPr>
      <w:r>
        <w:rPr>
          <w:rFonts w:hint="eastAsia" w:ascii="仿宋" w:hAnsi="仿宋" w:eastAsia="仿宋" w:cs="仿宋"/>
          <w:color w:val="auto"/>
          <w:kern w:val="2"/>
          <w:sz w:val="21"/>
          <w:szCs w:val="21"/>
          <w:lang w:val="en-US" w:eastAsia="zh-CN" w:bidi="ar-SA"/>
        </w:rPr>
        <w:t>1.</w:t>
      </w:r>
      <w:r>
        <w:rPr>
          <w:rFonts w:hint="eastAsia" w:ascii="仿宋" w:hAnsi="仿宋" w:eastAsia="仿宋" w:cs="仿宋"/>
          <w:color w:val="auto"/>
          <w:sz w:val="21"/>
          <w:szCs w:val="21"/>
        </w:rPr>
        <w:t>以上参数投标供应商需提供国家认可资质的第三方检测机构出具的合格检测报告复印</w:t>
      </w:r>
      <w:r>
        <w:rPr>
          <w:rFonts w:hint="eastAsia" w:ascii="仿宋" w:hAnsi="仿宋" w:eastAsia="仿宋" w:cs="仿宋"/>
          <w:color w:val="auto"/>
          <w:sz w:val="21"/>
          <w:szCs w:val="21"/>
          <w:lang w:eastAsia="zh-CN"/>
        </w:rPr>
        <w:t>；</w:t>
      </w:r>
    </w:p>
    <w:p w14:paraId="35EC382D">
      <w:pPr>
        <w:numPr>
          <w:ilvl w:val="0"/>
          <w:numId w:val="0"/>
        </w:numPr>
        <w:spacing w:line="560" w:lineRule="exact"/>
        <w:ind w:left="0" w:left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采购清单中产品的技术参数描述如与特定品牌或者型号相匹配，仅作为技术参考，不代表特定产品，供应商可提供等同或优于参数要求的产品；</w:t>
      </w:r>
    </w:p>
    <w:p w14:paraId="350E5955">
      <w:pPr>
        <w:numPr>
          <w:ilvl w:val="0"/>
          <w:numId w:val="0"/>
        </w:numPr>
        <w:spacing w:line="560" w:lineRule="exact"/>
        <w:ind w:left="0" w:left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 xml:space="preserve">本项目采购清单中采购标的名称，因采购人不能穷尽详列或通俗认知等原因，可能供应商提供的产品所对应的证书、证明材料对产品命名存在差别，在满足技术参数要求前提下，本项目给予认可。 </w:t>
      </w:r>
    </w:p>
    <w:p w14:paraId="3B39A301">
      <w:pPr>
        <w:numPr>
          <w:ilvl w:val="0"/>
          <w:numId w:val="0"/>
        </w:numPr>
        <w:spacing w:line="560" w:lineRule="exact"/>
        <w:ind w:left="0" w:leftChars="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.参数需提供具有检测资质的检测机构出具的检测报告复印件加盖投标人公章，未提供有效证明材料或证明材料中内容与所要求指标不一致的，该条参数视为负偏离</w:t>
      </w:r>
      <w:r>
        <w:rPr>
          <w:rFonts w:hint="eastAsia" w:ascii="仿宋" w:hAnsi="仿宋" w:eastAsia="仿宋" w:cs="仿宋"/>
          <w:color w:val="auto"/>
          <w:sz w:val="21"/>
          <w:szCs w:val="21"/>
          <w:lang w:eastAsia="zh-CN"/>
        </w:rPr>
        <w:t>。</w:t>
      </w:r>
    </w:p>
    <w:p w14:paraId="7D81BB8A">
      <w:pPr>
        <w:numPr>
          <w:ilvl w:val="0"/>
          <w:numId w:val="0"/>
        </w:numPr>
        <w:spacing w:line="560" w:lineRule="exact"/>
        <w:ind w:left="0" w:leftChars="0"/>
        <w:rPr>
          <w:rFonts w:hint="eastAsia" w:ascii="仿宋" w:hAnsi="仿宋" w:eastAsia="仿宋" w:cs="仿宋"/>
          <w:color w:val="auto"/>
          <w:sz w:val="21"/>
          <w:szCs w:val="21"/>
          <w:lang w:eastAsia="zh-CN"/>
        </w:rPr>
      </w:pPr>
    </w:p>
    <w:p w14:paraId="2A6C20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二、商务要求（实质性要求）</w:t>
      </w:r>
    </w:p>
    <w:p w14:paraId="14D51026">
      <w:pPr>
        <w:numPr>
          <w:ilvl w:val="0"/>
          <w:numId w:val="0"/>
        </w:numPr>
        <w:spacing w:line="560" w:lineRule="exact"/>
        <w:ind w:leftChars="0" w:firstLine="640" w:firstLineChars="200"/>
        <w:rPr>
          <w:rFonts w:hint="default"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1.中标供应商在签订合同前</w:t>
      </w:r>
      <w:r>
        <w:rPr>
          <w:rFonts w:hint="eastAsia" w:ascii="仿宋" w:hAnsi="仿宋" w:eastAsia="仿宋" w:cs="Helvetica"/>
          <w:color w:val="auto"/>
          <w:kern w:val="0"/>
          <w:sz w:val="32"/>
          <w:szCs w:val="32"/>
          <w:u w:val="single"/>
          <w:lang w:val="en-US" w:eastAsia="zh-CN"/>
        </w:rPr>
        <w:t>提供一周产品免费试用服务</w:t>
      </w:r>
      <w:r>
        <w:rPr>
          <w:rFonts w:hint="eastAsia" w:ascii="仿宋" w:hAnsi="仿宋" w:eastAsia="仿宋" w:cs="Helvetica"/>
          <w:color w:val="auto"/>
          <w:kern w:val="0"/>
          <w:sz w:val="32"/>
          <w:szCs w:val="32"/>
          <w:lang w:val="en-US" w:eastAsia="zh-CN"/>
        </w:rPr>
        <w:t>，</w:t>
      </w:r>
      <w:r>
        <w:rPr>
          <w:rFonts w:hint="eastAsia" w:ascii="仿宋" w:hAnsi="仿宋" w:eastAsia="仿宋" w:cs="Helvetica"/>
          <w:color w:val="auto"/>
          <w:kern w:val="0"/>
          <w:sz w:val="32"/>
          <w:szCs w:val="32"/>
          <w:u w:val="single"/>
          <w:lang w:val="en-US" w:eastAsia="zh-CN"/>
        </w:rPr>
        <w:t>指导采购方工作人员正确投放洗涤产品</w:t>
      </w:r>
      <w:r>
        <w:rPr>
          <w:rFonts w:hint="eastAsia" w:ascii="仿宋" w:hAnsi="仿宋" w:eastAsia="仿宋" w:cs="Helvetica"/>
          <w:color w:val="auto"/>
          <w:kern w:val="0"/>
          <w:sz w:val="32"/>
          <w:szCs w:val="32"/>
          <w:lang w:val="en-US" w:eastAsia="zh-CN"/>
        </w:rPr>
        <w:t>，试用后</w:t>
      </w:r>
      <w:r>
        <w:rPr>
          <w:rFonts w:hint="eastAsia" w:ascii="仿宋" w:hAnsi="仿宋" w:eastAsia="仿宋" w:cs="Helvetica"/>
          <w:color w:val="auto"/>
          <w:kern w:val="0"/>
          <w:sz w:val="32"/>
          <w:szCs w:val="32"/>
          <w:u w:val="single"/>
          <w:lang w:val="en-US" w:eastAsia="zh-CN"/>
        </w:rPr>
        <w:t>洗涤质量满足采购方需求方签订采购合同</w:t>
      </w:r>
      <w:r>
        <w:rPr>
          <w:rFonts w:hint="eastAsia" w:ascii="仿宋" w:hAnsi="仿宋" w:eastAsia="仿宋" w:cs="Helvetica"/>
          <w:color w:val="auto"/>
          <w:kern w:val="0"/>
          <w:sz w:val="32"/>
          <w:szCs w:val="32"/>
          <w:lang w:val="en-US" w:eastAsia="zh-CN"/>
        </w:rPr>
        <w:t>；若</w:t>
      </w:r>
      <w:r>
        <w:rPr>
          <w:rFonts w:hint="eastAsia" w:ascii="仿宋" w:hAnsi="仿宋" w:eastAsia="仿宋" w:cs="Helvetica"/>
          <w:color w:val="auto"/>
          <w:kern w:val="0"/>
          <w:sz w:val="32"/>
          <w:szCs w:val="32"/>
          <w:u w:val="single"/>
          <w:lang w:val="en-US" w:eastAsia="zh-CN"/>
        </w:rPr>
        <w:t>不能满足采购方洗涤要求则由评分第二顺位供应商提供服务，以此类推，直到试用合格为止。</w:t>
      </w:r>
    </w:p>
    <w:p w14:paraId="67579BFA">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2.交货时间及地点：合同签订生效后根据甲方需求分批次供货，送货到甲方指定地点，验收合格交付使用，交货验收时须提供产品质检部门从同类产品中抽样检查合格的检测报告。</w:t>
      </w:r>
    </w:p>
    <w:p w14:paraId="23E35A0B">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3.合同价款支付方式和条件：</w:t>
      </w:r>
    </w:p>
    <w:p w14:paraId="55B20EF0">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（1）按实际供货的量，每三个月结算；直至付完全部合同金额；</w:t>
      </w:r>
    </w:p>
    <w:p w14:paraId="1FF64C04">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（2）甲乙双方按实际供货量每三个月办理一次货款结算，经乙方书面申请后，甲乙双方审核金额确认无误后 60 日内支付乙方前三个月所供合格货物的结算货款；</w:t>
      </w:r>
    </w:p>
    <w:p w14:paraId="092781A5">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（3）乙方在甲方支付货款前，应向甲方提供对已交货物产品的发票和有关单据，否则甲方可顺延付款且不承担任何责任，乙方应继续履行合同。</w:t>
      </w:r>
    </w:p>
    <w:p w14:paraId="043AC097">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3.响应时间：质保期内接到采购人通知后，中标人应在 1 小时内进行响应，4小时内到达产品使用现场进行处理。所产生的费用全部由中标人承担。</w:t>
      </w:r>
    </w:p>
    <w:p w14:paraId="42F0B4E8">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4.本项目所投产品必须是注册了商标的正规生产厂家生产的产品，不得以三无产品或仿冒产品进行投标和供货。各类产品必须包装完好，无破损、无遗漏、无变质，否则采购人有权拒绝使用或退货。</w:t>
      </w:r>
    </w:p>
    <w:p w14:paraId="5881F0E0">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5.本项目采购人将不定期（每半年不少于1次）对中标人供应的洗涤类产品关键指标和洗涤后的布草委托具有法定检测资质的检测机构进行检测，检测费用由中标人支付。</w:t>
      </w:r>
    </w:p>
    <w:p w14:paraId="7EE09571">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6.洗涤剂按规定程序使用后，若清洁度（参照羽绒清洁度检测标准（FZ/T81002）不合格，且色污渍(参考 DB51/1768.2)明显存在，采购人将按上一个月使用洗涤剂总额对中标人处以3%的扣款。</w:t>
      </w:r>
    </w:p>
    <w:p w14:paraId="7A0AA8B8">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7. 供货产品 pH 值指标应优于投标时的数据，若日常供应的洗涤类产品 pH 值高于投标文件（或投标样本）pH 值 0.5，则采购人将按上一个月使用洗涤剂总额对中标人处以 2%的扣款。</w:t>
      </w:r>
    </w:p>
    <w:p w14:paraId="44419B4E">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8.洗涤剂按规定程序使用后，若布草损伤明显，采购人及时告之投标人，投标人须在 2 日内对洗涤剂进行整改，达到使用要求。若整改无效或未达到要求，采购人将按上一个月使用洗涤剂总额处以 5%的扣款。</w:t>
      </w:r>
    </w:p>
    <w:p w14:paraId="4D97B306">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9.若清洁度、色污渍、布草损伤问题多次整改后仍然不合格或情况严重，采购人将按上一个月使用洗涤剂总额处以 1.质保期：产品质保期不低于12个月。</w:t>
      </w:r>
    </w:p>
    <w:p w14:paraId="2BA1D02A">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10.中标人负责对采购人洗涤剂使用的技术培训，对洗涤工序及质量进行监督，保证洗涤质量；为采购人控制洗涤剂成本，采购人按规范使用中标人洗涤剂，在布草洗涤质量合格的前提下，尽可能地降低洗涤剂使用成本。</w:t>
      </w:r>
    </w:p>
    <w:p w14:paraId="2FF55417">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11.产品在送达指定地点的有效保质时间不低于产品保质期的一半（以生产日期起计算）。</w:t>
      </w:r>
    </w:p>
    <w:p w14:paraId="2C0B9624">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12.质保期≥1 年，质保期内产品出现任何非人为造成的质量问题，中标人负责免费更换。</w:t>
      </w:r>
    </w:p>
    <w:p w14:paraId="75D5C6D2">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13. 验收标准：按国家有关规定以及招标文件的质量要求和技术指标、投标文件及承诺与合同约定标准进行验收；采购人及投标人双方如对质量要求和技术指标的约定标准有相互抵触或异议的事项，由采购人在招标文件、投标文件中按质量要求和技术指标比较优胜的原则确定该项的约定标准进行验收。</w:t>
      </w:r>
    </w:p>
    <w:p w14:paraId="34AD8259">
      <w:pPr>
        <w:numPr>
          <w:ilvl w:val="0"/>
          <w:numId w:val="0"/>
        </w:numPr>
        <w:spacing w:line="560" w:lineRule="exact"/>
        <w:ind w:leftChars="0"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14. 验收时如发现所交付的货物有短装、次品、损坏或其它不符合标准及合同规定之情形者，采购人应做出详尽的现场记录，或由采购人及投标人双方签署备忘录，此现场记录或备忘录可用作补充、缺失和更换货物的有效证据，由此产生的时间延误与有关费用由投标人承担，验收期限相应顺延。</w:t>
      </w:r>
    </w:p>
    <w:p w14:paraId="7D384DE9">
      <w:pPr>
        <w:numPr>
          <w:ilvl w:val="0"/>
          <w:numId w:val="0"/>
        </w:numPr>
        <w:spacing w:line="360" w:lineRule="auto"/>
        <w:ind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15. 投标人须承诺所提供的检测报告等佐证材料均真实、有效，采购人有权在签订合同前对投标人所提供的佐证材料进行核查，若发现投标人提供的佐证材料存在弄虚作假的情形，将视为投标人虚假响应，并依法上报财政部门，由此造成的后果由投标人自行承担。（提供承诺函原件加盖投标人公章）</w:t>
      </w:r>
    </w:p>
    <w:p w14:paraId="0D2A2903">
      <w:pPr>
        <w:numPr>
          <w:ilvl w:val="0"/>
          <w:numId w:val="0"/>
        </w:numPr>
        <w:spacing w:line="360" w:lineRule="auto"/>
        <w:ind w:firstLine="640" w:firstLineChars="200"/>
        <w:rPr>
          <w:rFonts w:hint="eastAsia" w:ascii="仿宋" w:hAnsi="仿宋" w:eastAsia="仿宋" w:cs="Helvetica"/>
          <w:color w:val="auto"/>
          <w:kern w:val="0"/>
          <w:sz w:val="32"/>
          <w:szCs w:val="32"/>
          <w:lang w:val="en-US" w:eastAsia="zh-CN"/>
        </w:rPr>
      </w:pPr>
      <w:r>
        <w:rPr>
          <w:rFonts w:hint="eastAsia" w:ascii="仿宋" w:hAnsi="仿宋" w:eastAsia="仿宋" w:cs="Helvetica"/>
          <w:color w:val="auto"/>
          <w:kern w:val="0"/>
          <w:sz w:val="32"/>
          <w:szCs w:val="32"/>
          <w:lang w:val="en-US" w:eastAsia="zh-CN"/>
        </w:rPr>
        <w:t>16.供货数量为预估使用量，合同签订后以达到合同截止日期或供货数量达到本项目预估使用量，满足其中一项条件本合同自动终止。</w:t>
      </w:r>
    </w:p>
    <w:p w14:paraId="102DC8F1">
      <w:pPr>
        <w:numPr>
          <w:ilvl w:val="0"/>
          <w:numId w:val="0"/>
        </w:num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Helvetica"/>
          <w:color w:val="auto"/>
          <w:kern w:val="0"/>
          <w:sz w:val="32"/>
          <w:szCs w:val="32"/>
          <w:lang w:val="en-US" w:eastAsia="zh-CN"/>
        </w:rPr>
        <w:t>17.本项目不接受转包或联合体投标。</w:t>
      </w:r>
    </w:p>
    <w:p w14:paraId="341BBA68">
      <w:pPr>
        <w:rPr>
          <w:rFonts w:hint="eastAsia" w:ascii="黑体" w:hAnsi="黑体" w:eastAsia="黑体" w:cs="黑体"/>
          <w:color w:val="auto"/>
          <w:lang w:eastAsia="zh-CN"/>
        </w:rPr>
      </w:pPr>
    </w:p>
    <w:p w14:paraId="56A884EA">
      <w:pPr>
        <w:rPr>
          <w:rFonts w:hint="eastAsia" w:ascii="黑体" w:hAnsi="黑体" w:eastAsia="黑体" w:cs="黑体"/>
          <w:color w:val="auto"/>
          <w:lang w:eastAsia="zh-CN"/>
        </w:rPr>
      </w:pPr>
    </w:p>
    <w:sectPr>
      <w:headerReference r:id="rId4" w:type="first"/>
      <w:footerReference r:id="rId6" w:type="first"/>
      <w:headerReference r:id="rId3" w:type="default"/>
      <w:footerReference r:id="rId5" w:type="default"/>
      <w:pgSz w:w="11906" w:h="16838"/>
      <w:pgMar w:top="1134" w:right="1134" w:bottom="1077" w:left="1361" w:header="680" w:footer="680"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941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13AE3">
                    <w:pPr>
                      <w:pStyle w:val="12"/>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13</w:t>
                    </w:r>
                    <w:r>
                      <w:rPr>
                        <w:sz w:val="24"/>
                        <w:szCs w:val="24"/>
                      </w:rPr>
                      <w:fldChar w:fldCharType="end"/>
                    </w:r>
                    <w:r>
                      <w:rPr>
                        <w:sz w:val="24"/>
                        <w:szCs w:val="24"/>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C2D4">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2C75A2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71F18">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7FA6C">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6A133"/>
    <w:multiLevelType w:val="singleLevel"/>
    <w:tmpl w:val="8316A133"/>
    <w:lvl w:ilvl="0" w:tentative="0">
      <w:start w:val="1"/>
      <w:numFmt w:val="decimal"/>
      <w:lvlText w:val="%1."/>
      <w:lvlJc w:val="left"/>
      <w:pPr>
        <w:tabs>
          <w:tab w:val="left" w:pos="312"/>
        </w:tabs>
      </w:pPr>
    </w:lvl>
  </w:abstractNum>
  <w:abstractNum w:abstractNumId="1">
    <w:nsid w:val="A4953673"/>
    <w:multiLevelType w:val="singleLevel"/>
    <w:tmpl w:val="A4953673"/>
    <w:lvl w:ilvl="0" w:tentative="0">
      <w:start w:val="1"/>
      <w:numFmt w:val="decimal"/>
      <w:lvlText w:val="%1."/>
      <w:lvlJc w:val="left"/>
      <w:pPr>
        <w:tabs>
          <w:tab w:val="left" w:pos="312"/>
        </w:tabs>
      </w:pPr>
    </w:lvl>
  </w:abstractNum>
  <w:abstractNum w:abstractNumId="2">
    <w:nsid w:val="C45F5704"/>
    <w:multiLevelType w:val="singleLevel"/>
    <w:tmpl w:val="C45F5704"/>
    <w:lvl w:ilvl="0" w:tentative="0">
      <w:start w:val="1"/>
      <w:numFmt w:val="chineseCounting"/>
      <w:suff w:val="nothing"/>
      <w:lvlText w:val="%1、"/>
      <w:lvlJc w:val="left"/>
      <w:rPr>
        <w:rFonts w:hint="eastAsia"/>
      </w:rPr>
    </w:lvl>
  </w:abstractNum>
  <w:abstractNum w:abstractNumId="3">
    <w:nsid w:val="FE91F05D"/>
    <w:multiLevelType w:val="singleLevel"/>
    <w:tmpl w:val="FE91F05D"/>
    <w:lvl w:ilvl="0" w:tentative="0">
      <w:start w:val="1"/>
      <w:numFmt w:val="decimal"/>
      <w:lvlText w:val="%1."/>
      <w:lvlJc w:val="left"/>
      <w:pPr>
        <w:tabs>
          <w:tab w:val="left" w:pos="312"/>
        </w:tabs>
      </w:pPr>
    </w:lvl>
  </w:abstractNum>
  <w:abstractNum w:abstractNumId="4">
    <w:nsid w:val="158B2E0A"/>
    <w:multiLevelType w:val="singleLevel"/>
    <w:tmpl w:val="158B2E0A"/>
    <w:lvl w:ilvl="0" w:tentative="0">
      <w:start w:val="1"/>
      <w:numFmt w:val="decimal"/>
      <w:lvlText w:val="%1."/>
      <w:lvlJc w:val="left"/>
      <w:pPr>
        <w:tabs>
          <w:tab w:val="left" w:pos="312"/>
        </w:tabs>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VmZThjMzNiOWMyOWMxMTEwM2ZiOGYwYzY1Nzg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9C0C65"/>
    <w:rsid w:val="09CC3AEA"/>
    <w:rsid w:val="09CF2980"/>
    <w:rsid w:val="0A5766D2"/>
    <w:rsid w:val="0B481B96"/>
    <w:rsid w:val="0B5B6EA7"/>
    <w:rsid w:val="0B9B184D"/>
    <w:rsid w:val="0BBF2600"/>
    <w:rsid w:val="0C3E61B9"/>
    <w:rsid w:val="0DA12370"/>
    <w:rsid w:val="0DBF0EC4"/>
    <w:rsid w:val="0DE40DBE"/>
    <w:rsid w:val="0E672DB3"/>
    <w:rsid w:val="0E904937"/>
    <w:rsid w:val="0E9E1831"/>
    <w:rsid w:val="0EAB0093"/>
    <w:rsid w:val="0F225786"/>
    <w:rsid w:val="0FB83603"/>
    <w:rsid w:val="0FCE2C6B"/>
    <w:rsid w:val="107F49DA"/>
    <w:rsid w:val="11103FB2"/>
    <w:rsid w:val="11106DD4"/>
    <w:rsid w:val="113065C7"/>
    <w:rsid w:val="11551C0D"/>
    <w:rsid w:val="11630C29"/>
    <w:rsid w:val="12374305"/>
    <w:rsid w:val="12555A81"/>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935"/>
    <w:rsid w:val="219C0C5F"/>
    <w:rsid w:val="223E3923"/>
    <w:rsid w:val="22CD72A0"/>
    <w:rsid w:val="22DC6C27"/>
    <w:rsid w:val="230709BE"/>
    <w:rsid w:val="2333299E"/>
    <w:rsid w:val="23B92E0F"/>
    <w:rsid w:val="245C589E"/>
    <w:rsid w:val="24640781"/>
    <w:rsid w:val="24972E1D"/>
    <w:rsid w:val="2575459C"/>
    <w:rsid w:val="258F1C50"/>
    <w:rsid w:val="260C2C13"/>
    <w:rsid w:val="26DE5391"/>
    <w:rsid w:val="26F92D9C"/>
    <w:rsid w:val="27727EF2"/>
    <w:rsid w:val="27E167C8"/>
    <w:rsid w:val="27E8188C"/>
    <w:rsid w:val="27FC6D6D"/>
    <w:rsid w:val="280F7F64"/>
    <w:rsid w:val="286E79EF"/>
    <w:rsid w:val="295D2E54"/>
    <w:rsid w:val="2967011C"/>
    <w:rsid w:val="29E733A5"/>
    <w:rsid w:val="29EC6ACA"/>
    <w:rsid w:val="2A571F3F"/>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577691"/>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5F0685"/>
    <w:rsid w:val="37AF0C3F"/>
    <w:rsid w:val="381338B3"/>
    <w:rsid w:val="387820A1"/>
    <w:rsid w:val="388A7983"/>
    <w:rsid w:val="391D2725"/>
    <w:rsid w:val="39241426"/>
    <w:rsid w:val="3A0A5821"/>
    <w:rsid w:val="3ADC539A"/>
    <w:rsid w:val="3AE30FAC"/>
    <w:rsid w:val="3B3A67B9"/>
    <w:rsid w:val="3B572D45"/>
    <w:rsid w:val="3B65061B"/>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574906"/>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A92068D"/>
    <w:rsid w:val="4B21070C"/>
    <w:rsid w:val="4C4579F1"/>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BA569F"/>
    <w:rsid w:val="55EE4C06"/>
    <w:rsid w:val="561A148B"/>
    <w:rsid w:val="565B213D"/>
    <w:rsid w:val="56773B8D"/>
    <w:rsid w:val="56D444B4"/>
    <w:rsid w:val="572D0183"/>
    <w:rsid w:val="57567F4A"/>
    <w:rsid w:val="57667B7B"/>
    <w:rsid w:val="578D66D2"/>
    <w:rsid w:val="580A2903"/>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55E89"/>
    <w:rsid w:val="5CC74DB0"/>
    <w:rsid w:val="5DA41796"/>
    <w:rsid w:val="5DC167D7"/>
    <w:rsid w:val="5F0E08C6"/>
    <w:rsid w:val="5F5075CA"/>
    <w:rsid w:val="5F7007A2"/>
    <w:rsid w:val="5F85487D"/>
    <w:rsid w:val="5FB650D9"/>
    <w:rsid w:val="6096215E"/>
    <w:rsid w:val="626070DF"/>
    <w:rsid w:val="62B86D17"/>
    <w:rsid w:val="62C824CA"/>
    <w:rsid w:val="635F68CB"/>
    <w:rsid w:val="64177A6E"/>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CF4DB4"/>
    <w:rsid w:val="69F16575"/>
    <w:rsid w:val="69FE6269"/>
    <w:rsid w:val="6B110ED0"/>
    <w:rsid w:val="6B3D74AC"/>
    <w:rsid w:val="6BF5199F"/>
    <w:rsid w:val="6C81461E"/>
    <w:rsid w:val="6CE610BF"/>
    <w:rsid w:val="6CED312F"/>
    <w:rsid w:val="6CF2654E"/>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802750"/>
    <w:rsid w:val="74D379E1"/>
    <w:rsid w:val="74F82EAA"/>
    <w:rsid w:val="75457DB7"/>
    <w:rsid w:val="7563067A"/>
    <w:rsid w:val="75E55D62"/>
    <w:rsid w:val="76466533"/>
    <w:rsid w:val="77F97E1C"/>
    <w:rsid w:val="785111E8"/>
    <w:rsid w:val="78E831F4"/>
    <w:rsid w:val="79AC141B"/>
    <w:rsid w:val="79B51E35"/>
    <w:rsid w:val="79EA27D4"/>
    <w:rsid w:val="7AE23540"/>
    <w:rsid w:val="7B533F57"/>
    <w:rsid w:val="7C29457B"/>
    <w:rsid w:val="7CE9423F"/>
    <w:rsid w:val="7D9A1A1C"/>
    <w:rsid w:val="7E163DF2"/>
    <w:rsid w:val="7E1D587C"/>
    <w:rsid w:val="7E1E62DD"/>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标题 1 Char"/>
    <w:link w:val="2"/>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qFormat/>
    <w:uiPriority w:val="0"/>
    <w:pPr>
      <w:spacing w:line="360" w:lineRule="auto"/>
      <w:ind w:firstLine="200" w:firstLineChars="200"/>
    </w:pPr>
  </w:style>
  <w:style w:type="character" w:customStyle="1" w:styleId="24">
    <w:name w:val="font21"/>
    <w:basedOn w:val="19"/>
    <w:qFormat/>
    <w:uiPriority w:val="0"/>
    <w:rPr>
      <w:rFonts w:ascii="Calibri" w:hAnsi="Calibri" w:cs="Calibri"/>
      <w:color w:val="000000"/>
      <w:sz w:val="18"/>
      <w:szCs w:val="18"/>
      <w:u w:val="none"/>
    </w:rPr>
  </w:style>
  <w:style w:type="character" w:customStyle="1" w:styleId="25">
    <w:name w:val="font01"/>
    <w:basedOn w:val="19"/>
    <w:qFormat/>
    <w:uiPriority w:val="0"/>
    <w:rPr>
      <w:rFonts w:hint="eastAsia" w:ascii="宋体" w:hAnsi="宋体" w:eastAsia="宋体" w:cs="宋体"/>
      <w:color w:val="000000"/>
      <w:sz w:val="18"/>
      <w:szCs w:val="18"/>
      <w:u w:val="none"/>
    </w:rPr>
  </w:style>
  <w:style w:type="paragraph" w:styleId="26">
    <w:name w:val="List Paragraph"/>
    <w:basedOn w:val="1"/>
    <w:qFormat/>
    <w:uiPriority w:val="34"/>
    <w:pPr>
      <w:ind w:firstLine="420" w:firstLineChars="200"/>
    </w:pPr>
    <w:rPr>
      <w:rFonts w:ascii="Calibri" w:hAnsi="Calibri" w:eastAsia="宋体" w:cs="Times New Roman"/>
      <w:sz w:val="21"/>
      <w:szCs w:val="22"/>
    </w:rPr>
  </w:style>
  <w:style w:type="paragraph" w:customStyle="1" w:styleId="27">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qFormat/>
    <w:uiPriority w:val="34"/>
    <w:pPr>
      <w:ind w:firstLine="420" w:firstLineChars="200"/>
    </w:pPr>
  </w:style>
  <w:style w:type="paragraph" w:customStyle="1" w:styleId="2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15</Pages>
  <Words>7201</Words>
  <Characters>7596</Characters>
  <Lines>0</Lines>
  <Paragraphs>0</Paragraphs>
  <TotalTime>0</TotalTime>
  <ScaleCrop>false</ScaleCrop>
  <LinksUpToDate>false</LinksUpToDate>
  <CharactersWithSpaces>8112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D</cp:lastModifiedBy>
  <cp:lastPrinted>2019-09-23T08:20:00Z</cp:lastPrinted>
  <dcterms:modified xsi:type="dcterms:W3CDTF">2025-03-25T01:53:40Z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C05AC66741D34244BB6A4484CA91A2FC_13</vt:lpwstr>
  </property>
  <property fmtid="{D5CDD505-2E9C-101B-9397-08002B2CF9AE}" pid="4" name="KSOTemplateDocerSaveRecord">
    <vt:lpwstr>eyJoZGlkIjoiYjJmZmFmMGFkNTkxMTc3Y2Q4ODdmNWVhNTFmYjU5MjciLCJ1c2VySWQiOiIxMjE4MTQ0Nzk4In0=</vt:lpwstr>
  </property>
</Properties>
</file>