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86D8A">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14:paraId="4FEA2787">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院内采购公告</w:t>
      </w:r>
    </w:p>
    <w:p w14:paraId="7E40A9D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14:paraId="52CBC63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采购项目名称：箱式变压器维  限价1.5</w:t>
      </w:r>
      <w:bookmarkStart w:id="18" w:name="_GoBack"/>
      <w:bookmarkEnd w:id="18"/>
      <w:r>
        <w:rPr>
          <w:rFonts w:hint="eastAsia" w:ascii="仿宋" w:hAnsi="仿宋" w:eastAsia="仿宋" w:cs="仿宋"/>
          <w:color w:val="555555"/>
          <w:kern w:val="0"/>
          <w:sz w:val="32"/>
          <w:szCs w:val="32"/>
          <w:lang w:val="en-US" w:eastAsia="zh-CN"/>
        </w:rPr>
        <w:t>万元</w:t>
      </w:r>
    </w:p>
    <w:p w14:paraId="540700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 xml:space="preserve">YNCG006    </w:t>
      </w:r>
    </w:p>
    <w:p w14:paraId="504BE7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采购项目内容（详细要求请看附件）：</w:t>
      </w:r>
    </w:p>
    <w:p w14:paraId="4A475A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C48E79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val="en-US" w:eastAsia="zh-CN"/>
        </w:rPr>
        <w:t>三</w:t>
      </w:r>
      <w:r>
        <w:rPr>
          <w:rFonts w:hint="eastAsia" w:ascii="仿宋" w:hAnsi="仿宋" w:eastAsia="仿宋" w:cs="仿宋"/>
          <w:color w:val="555555"/>
          <w:kern w:val="0"/>
          <w:sz w:val="32"/>
          <w:szCs w:val="32"/>
          <w:lang w:eastAsia="zh-CN"/>
        </w:rPr>
        <w:t>、供应商参加本次采购活动</w:t>
      </w:r>
      <w:r>
        <w:rPr>
          <w:rFonts w:hint="eastAsia" w:ascii="仿宋" w:hAnsi="仿宋" w:eastAsia="仿宋" w:cs="仿宋"/>
          <w:color w:val="555555"/>
          <w:kern w:val="0"/>
          <w:sz w:val="32"/>
          <w:szCs w:val="32"/>
          <w:lang w:val="en-US" w:eastAsia="zh-CN"/>
        </w:rPr>
        <w:t>需要</w:t>
      </w:r>
      <w:r>
        <w:rPr>
          <w:rFonts w:hint="eastAsia" w:ascii="仿宋" w:hAnsi="仿宋" w:eastAsia="仿宋" w:cs="仿宋"/>
          <w:color w:val="555555"/>
          <w:kern w:val="0"/>
          <w:sz w:val="32"/>
          <w:szCs w:val="32"/>
          <w:lang w:eastAsia="zh-CN"/>
        </w:rPr>
        <w:t>提交的资料：</w:t>
      </w:r>
    </w:p>
    <w:p w14:paraId="3DB55AE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783C53A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2.提交资料应按照采购文件中的承诺函、廉洁承诺书、采购资质要求、技术及商务要求提供2套。</w:t>
      </w:r>
    </w:p>
    <w:p w14:paraId="620E643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3.报价以及资料，采购响应文件封面请注明项目名称、联系人、联系电话、自行密封并加盖公章。</w:t>
      </w:r>
    </w:p>
    <w:p w14:paraId="363A6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4.请满足上述资质要求的供应商于</w:t>
      </w:r>
      <w:r>
        <w:rPr>
          <w:rFonts w:hint="eastAsia" w:ascii="仿宋" w:hAnsi="仿宋" w:eastAsia="仿宋" w:cs="仿宋"/>
          <w:color w:val="FF0000"/>
          <w:kern w:val="0"/>
          <w:sz w:val="32"/>
          <w:szCs w:val="32"/>
          <w:lang w:val="en-US" w:eastAsia="zh-CN"/>
        </w:rPr>
        <w:t>2025年4月14日17:00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14:paraId="6E635C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四、其他要求（参加采购的供应商视为全部接受以下条款）</w:t>
      </w:r>
    </w:p>
    <w:p w14:paraId="70BFA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1.方案报价在30日内有效，报价包括供应商履约过程中的服务费、人工、差旅、保险、税金与供应商履约所需要的其他所有费用。</w:t>
      </w:r>
    </w:p>
    <w:p w14:paraId="2DF64B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综合评分法（一次报价）</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放弃中标资格或因不可抗力提出不能履行合同的，将按照排名先后顺序依次替补或重新招采。</w:t>
      </w:r>
    </w:p>
    <w:p w14:paraId="1F96F765">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14:paraId="77572E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采购办</w:t>
      </w: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val="en-US" w:eastAsia="zh-CN"/>
        </w:rPr>
        <w:t xml:space="preserve">:徐老师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14:paraId="4E2E40FC">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总物料联系人：何老师      联系电话：0833-3351690</w:t>
      </w:r>
    </w:p>
    <w:p w14:paraId="43EED618">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14:paraId="0C005918">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14:paraId="4A68482B">
      <w:pPr>
        <w:pStyle w:val="30"/>
        <w:spacing w:line="240" w:lineRule="auto"/>
        <w:rPr>
          <w:rFonts w:hint="eastAsia"/>
          <w:lang w:eastAsia="zh-CN"/>
        </w:rPr>
      </w:pPr>
    </w:p>
    <w:p w14:paraId="752D63B9">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14:paraId="47C86D6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14:paraId="3B6BCC48">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14:paraId="411BB50B">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14:paraId="04614F0E">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14:paraId="57FEB435">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14:paraId="3D9AA50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499EFADB">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14:paraId="7023D98A">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14:paraId="6981F7BD">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14:paraId="5CC7B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14:paraId="16780D8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14:paraId="411BA02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14:paraId="3B27866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14:paraId="0BF2A081">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14:paraId="2B38635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14:paraId="28EDF90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可以电话进行询问或以书面形式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14:paraId="587B39D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13245A">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14:paraId="2F800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14:paraId="2E0F0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77FB99C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14:paraId="3649028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14:paraId="21B4DE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14:paraId="2D1FE5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14:paraId="44EE3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14:paraId="04AF2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14:paraId="466F1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14:paraId="2FB8F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14:paraId="70D37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14:paraId="68C4A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14:paraId="0E2BE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14:paraId="091173C2">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BBA66FB">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14:paraId="2432D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14:paraId="2D517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14:paraId="2B2F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14:paraId="7FB8D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4CD8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14:paraId="11FD7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14:paraId="47EAE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14:paraId="32147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14:paraId="4AC6F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14:paraId="6389F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14:paraId="28ED5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14:paraId="015F6023">
      <w:pPr>
        <w:pStyle w:val="7"/>
        <w:ind w:left="0" w:leftChars="0" w:firstLine="0" w:firstLineChars="0"/>
        <w:rPr>
          <w:rFonts w:hint="eastAsia" w:ascii="黑体" w:hAnsi="黑体" w:eastAsia="黑体" w:cs="黑体"/>
          <w:lang w:eastAsia="zh-CN"/>
        </w:rPr>
      </w:pPr>
    </w:p>
    <w:p w14:paraId="313622CD">
      <w:pPr>
        <w:rPr>
          <w:rFonts w:hint="eastAsia" w:ascii="黑体" w:hAnsi="黑体" w:eastAsia="黑体" w:cs="黑体"/>
          <w:lang w:val="en-US" w:eastAsia="zh-CN"/>
        </w:rPr>
      </w:pPr>
    </w:p>
    <w:p w14:paraId="05D22D78">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14:paraId="051E9A29">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14:paraId="55C87371">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14:paraId="724E6C68">
      <w:pPr>
        <w:spacing w:line="400" w:lineRule="exact"/>
        <w:ind w:firstLine="4897" w:firstLineChars="583"/>
        <w:rPr>
          <w:rFonts w:hint="eastAsia" w:ascii="黑体" w:hAnsi="黑体" w:eastAsia="黑体" w:cs="黑体"/>
          <w:sz w:val="84"/>
          <w:szCs w:val="84"/>
          <w:lang w:eastAsia="zh-CN"/>
        </w:rPr>
      </w:pPr>
    </w:p>
    <w:p w14:paraId="5E7EE96D">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院内询价、采购、谈判、遴选文件</w:t>
      </w:r>
    </w:p>
    <w:p w14:paraId="6FE91240">
      <w:pPr>
        <w:rPr>
          <w:rFonts w:hint="eastAsia" w:ascii="黑体" w:hAnsi="黑体" w:eastAsia="黑体" w:cs="黑体"/>
          <w:sz w:val="84"/>
          <w:szCs w:val="84"/>
          <w:lang w:val="en-US" w:eastAsia="zh-CN"/>
        </w:rPr>
      </w:pPr>
    </w:p>
    <w:p w14:paraId="65B839F2">
      <w:pPr>
        <w:pStyle w:val="5"/>
        <w:rPr>
          <w:rFonts w:hint="eastAsia" w:ascii="黑体" w:hAnsi="黑体" w:eastAsia="黑体" w:cs="黑体"/>
          <w:lang w:val="en-US" w:eastAsia="zh-CN"/>
        </w:rPr>
      </w:pPr>
    </w:p>
    <w:p w14:paraId="24147955">
      <w:pPr>
        <w:spacing w:line="400" w:lineRule="exact"/>
        <w:ind w:firstLine="4897" w:firstLineChars="583"/>
        <w:rPr>
          <w:rFonts w:hint="eastAsia" w:ascii="黑体" w:hAnsi="黑体" w:eastAsia="黑体" w:cs="黑体"/>
          <w:sz w:val="84"/>
          <w:szCs w:val="84"/>
        </w:rPr>
      </w:pPr>
    </w:p>
    <w:p w14:paraId="03B0BC2C">
      <w:pPr>
        <w:spacing w:line="400" w:lineRule="exact"/>
        <w:ind w:firstLine="4897" w:firstLineChars="583"/>
        <w:rPr>
          <w:rFonts w:hint="eastAsia" w:ascii="黑体" w:hAnsi="黑体" w:eastAsia="黑体" w:cs="黑体"/>
          <w:sz w:val="84"/>
          <w:szCs w:val="84"/>
        </w:rPr>
      </w:pPr>
    </w:p>
    <w:p w14:paraId="44CCBE24">
      <w:pPr>
        <w:spacing w:line="400" w:lineRule="exact"/>
        <w:rPr>
          <w:rFonts w:hint="eastAsia" w:ascii="黑体" w:hAnsi="黑体" w:eastAsia="黑体" w:cs="黑体"/>
          <w:b/>
          <w:bCs/>
          <w:sz w:val="30"/>
          <w:szCs w:val="30"/>
        </w:rPr>
      </w:pPr>
    </w:p>
    <w:p w14:paraId="203C3763">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14:paraId="6D849B8D">
      <w:pPr>
        <w:widowControl w:val="0"/>
        <w:adjustRightInd/>
        <w:spacing w:line="360" w:lineRule="auto"/>
        <w:rPr>
          <w:rFonts w:hint="default" w:ascii="黑体" w:hAnsi="黑体" w:eastAsia="黑体" w:cs="黑体"/>
          <w:b/>
          <w:sz w:val="32"/>
          <w:szCs w:val="32"/>
          <w:u w:val="single"/>
          <w:lang w:val="en-US" w:eastAsia="zh-CN"/>
        </w:rPr>
      </w:pPr>
      <w:r>
        <w:rPr>
          <w:rFonts w:hint="eastAsia" w:ascii="黑体" w:hAnsi="黑体" w:eastAsia="黑体" w:cs="黑体"/>
          <w:b/>
          <w:bCs/>
          <w:sz w:val="32"/>
          <w:szCs w:val="32"/>
          <w:lang w:val="en-US" w:eastAsia="zh-CN"/>
        </w:rPr>
        <w:t>项目编号：</w:t>
      </w:r>
      <w:r>
        <w:rPr>
          <w:rFonts w:hint="eastAsia" w:ascii="黑体" w:hAnsi="黑体" w:eastAsia="黑体" w:cs="黑体"/>
          <w:b/>
          <w:sz w:val="32"/>
          <w:szCs w:val="32"/>
          <w:u w:val="single"/>
          <w:lang w:val="en-US" w:eastAsia="zh-CN"/>
        </w:rPr>
        <w:t xml:space="preserve">                            </w:t>
      </w:r>
    </w:p>
    <w:p w14:paraId="45786B23">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14:paraId="00278458">
      <w:pPr>
        <w:widowControl w:val="0"/>
        <w:adjustRightInd/>
        <w:spacing w:line="360" w:lineRule="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联系人及电话：________________________</w:t>
      </w:r>
    </w:p>
    <w:p w14:paraId="11F2C204">
      <w:pPr>
        <w:widowControl w:val="0"/>
        <w:adjustRightInd/>
        <w:spacing w:line="360" w:lineRule="auto"/>
        <w:ind w:firstLine="315" w:firstLineChars="98"/>
        <w:rPr>
          <w:rFonts w:hint="eastAsia" w:ascii="黑体" w:hAnsi="黑体" w:eastAsia="黑体" w:cs="黑体"/>
          <w:b/>
          <w:bCs/>
          <w:sz w:val="32"/>
          <w:szCs w:val="32"/>
        </w:rPr>
      </w:pPr>
    </w:p>
    <w:p w14:paraId="12B15D86">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14:paraId="0888E0B2">
      <w:pPr>
        <w:rPr>
          <w:rFonts w:hint="eastAsia" w:ascii="黑体" w:hAnsi="黑体" w:eastAsia="黑体" w:cs="黑体"/>
          <w:b/>
          <w:bCs/>
          <w:sz w:val="32"/>
          <w:szCs w:val="32"/>
        </w:rPr>
      </w:pPr>
      <w:bookmarkStart w:id="0" w:name="_Toc9490"/>
      <w:bookmarkStart w:id="1" w:name="_Toc5773"/>
      <w:bookmarkStart w:id="2" w:name="_Toc25737"/>
      <w:bookmarkStart w:id="3" w:name="_Toc18458"/>
      <w:r>
        <w:rPr>
          <w:rFonts w:hint="eastAsia" w:ascii="黑体" w:hAnsi="黑体" w:eastAsia="黑体" w:cs="黑体"/>
          <w:b/>
          <w:bCs/>
          <w:sz w:val="32"/>
          <w:szCs w:val="32"/>
        </w:rPr>
        <w:br w:type="page"/>
      </w:r>
    </w:p>
    <w:bookmarkEnd w:id="0"/>
    <w:bookmarkEnd w:id="1"/>
    <w:bookmarkEnd w:id="2"/>
    <w:bookmarkEnd w:id="3"/>
    <w:p w14:paraId="32BAF489">
      <w:pPr>
        <w:spacing w:line="240" w:lineRule="auto"/>
        <w:jc w:val="center"/>
        <w:rPr>
          <w:rFonts w:hint="eastAsia" w:ascii="黑体" w:hAnsi="黑体" w:eastAsia="黑体" w:cs="黑体"/>
          <w:color w:val="000000"/>
          <w:spacing w:val="2"/>
          <w:sz w:val="40"/>
          <w:szCs w:val="40"/>
        </w:rPr>
      </w:pPr>
      <w:bookmarkStart w:id="4" w:name="_Toc12449"/>
      <w:bookmarkStart w:id="5" w:name="_Toc439699516"/>
      <w:bookmarkStart w:id="6" w:name="_Toc17549"/>
      <w:bookmarkStart w:id="7" w:name="_Toc4003"/>
      <w:r>
        <w:rPr>
          <w:rFonts w:hint="eastAsia" w:ascii="黑体" w:hAnsi="黑体" w:eastAsia="黑体" w:cs="黑体"/>
          <w:color w:val="000000"/>
          <w:spacing w:val="2"/>
          <w:sz w:val="40"/>
          <w:szCs w:val="40"/>
        </w:rPr>
        <w:t>承诺函</w:t>
      </w:r>
    </w:p>
    <w:p w14:paraId="65A6C026">
      <w:pPr>
        <w:pStyle w:val="5"/>
        <w:rPr>
          <w:rFonts w:hint="eastAsia" w:ascii="黑体" w:hAnsi="黑体" w:eastAsia="黑体" w:cs="黑体"/>
          <w:sz w:val="28"/>
          <w:szCs w:val="28"/>
        </w:rPr>
      </w:pPr>
    </w:p>
    <w:p w14:paraId="35A996C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14:paraId="621E677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14:paraId="49427B7B">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14:paraId="5808735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14:paraId="45CA6DF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14:paraId="57F8FB37">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14:paraId="442E8C9D">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14:paraId="16F002D8">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14:paraId="6141C7F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14:paraId="6808C171">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14:paraId="68046A62">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14:paraId="748248BC">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14:paraId="2477C9B4">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14:paraId="30D16A36">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14:paraId="5722C86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14:paraId="1665E5C6">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5C9A6E5">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14:paraId="026D5F56">
      <w:pPr>
        <w:pStyle w:val="29"/>
        <w:rPr>
          <w:rFonts w:hint="eastAsia" w:ascii="仿宋" w:hAnsi="仿宋" w:eastAsia="仿宋" w:cs="仿宋"/>
          <w:sz w:val="32"/>
          <w:szCs w:val="32"/>
        </w:rPr>
      </w:pPr>
    </w:p>
    <w:p w14:paraId="77BBA41A">
      <w:pPr>
        <w:rPr>
          <w:rFonts w:hint="eastAsia"/>
        </w:rPr>
      </w:pPr>
    </w:p>
    <w:p w14:paraId="37D7581A">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14:paraId="767C6A0F">
      <w:pPr>
        <w:snapToGrid w:val="0"/>
        <w:spacing w:line="360" w:lineRule="auto"/>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14:paraId="1B06D298">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w:t>
      </w: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p>
    <w:p w14:paraId="13B5865A">
      <w:pPr>
        <w:pStyle w:val="5"/>
        <w:adjustRightInd w:val="0"/>
        <w:snapToGrid w:val="0"/>
        <w:spacing w:after="0" w:line="360" w:lineRule="auto"/>
        <w:ind w:firstLine="560" w:firstLineChars="200"/>
        <w:rPr>
          <w:rFonts w:hint="eastAsia" w:ascii="黑体" w:hAnsi="黑体" w:eastAsia="黑体" w:cs="黑体"/>
          <w:sz w:val="28"/>
          <w:szCs w:val="28"/>
          <w:lang w:eastAsia="zh-CN"/>
        </w:rPr>
      </w:pPr>
    </w:p>
    <w:p w14:paraId="7089335C">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14:paraId="1BBDA091">
      <w:pPr>
        <w:spacing w:beforeLines="100" w:afterLines="200" w:line="320" w:lineRule="exact"/>
        <w:jc w:val="center"/>
        <w:rPr>
          <w:rFonts w:hint="eastAsia" w:ascii="黑体" w:hAnsi="黑体" w:eastAsia="黑体" w:cs="黑体"/>
          <w:color w:val="auto"/>
          <w:sz w:val="40"/>
          <w:szCs w:val="40"/>
        </w:rPr>
      </w:pPr>
      <w:bookmarkStart w:id="8" w:name="_Toc1800"/>
      <w:bookmarkStart w:id="9" w:name="_Toc439699522"/>
      <w:bookmarkStart w:id="10" w:name="_Toc1287"/>
      <w:bookmarkStart w:id="11" w:name="_Toc24199"/>
      <w:bookmarkStart w:id="12" w:name="_Toc16184"/>
      <w:bookmarkStart w:id="13" w:name="_Toc12426"/>
      <w:bookmarkStart w:id="14" w:name="_Toc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14:paraId="148A8028">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8987C1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D5853E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24F45CC4">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B254DDC">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4487798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C1B6CE3">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CE62E7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27BDA445">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4D3C4AEC">
      <w:pPr>
        <w:pStyle w:val="27"/>
        <w:spacing w:line="240" w:lineRule="auto"/>
        <w:ind w:firstLine="0"/>
        <w:rPr>
          <w:rFonts w:hint="eastAsia" w:ascii="仿宋" w:hAnsi="仿宋" w:eastAsia="仿宋" w:cs="仿宋"/>
          <w:color w:val="auto"/>
          <w:sz w:val="32"/>
          <w:szCs w:val="32"/>
        </w:rPr>
      </w:pPr>
    </w:p>
    <w:p w14:paraId="6DB0E3BA">
      <w:pPr>
        <w:pStyle w:val="27"/>
        <w:spacing w:line="240" w:lineRule="auto"/>
        <w:ind w:firstLine="0"/>
        <w:rPr>
          <w:rFonts w:hint="eastAsia" w:ascii="仿宋" w:hAnsi="仿宋" w:eastAsia="仿宋" w:cs="仿宋"/>
          <w:color w:val="auto"/>
          <w:sz w:val="32"/>
          <w:szCs w:val="32"/>
        </w:rPr>
      </w:pPr>
    </w:p>
    <w:p w14:paraId="3C1F2431">
      <w:pPr>
        <w:autoSpaceDN w:val="0"/>
        <w:spacing w:line="240" w:lineRule="auto"/>
        <w:ind w:firstLine="640" w:firstLineChars="200"/>
        <w:jc w:val="righ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5"/>
    </w:p>
    <w:p w14:paraId="6936C640">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2D85221F">
      <w:pPr>
        <w:numPr>
          <w:ilvl w:val="0"/>
          <w:numId w:val="2"/>
        </w:num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采购资质要求</w:t>
      </w:r>
    </w:p>
    <w:p w14:paraId="533A034D">
      <w:pPr>
        <w:pStyle w:val="5"/>
        <w:rPr>
          <w:rFonts w:hint="eastAsia" w:ascii="黑体" w:hAnsi="黑体" w:eastAsia="黑体" w:cs="黑体"/>
          <w:b/>
          <w:sz w:val="36"/>
          <w:szCs w:val="36"/>
          <w:lang w:val="en-US" w:eastAsia="zh-CN"/>
        </w:rPr>
      </w:pPr>
    </w:p>
    <w:p w14:paraId="7F675663">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809"/>
        <w:gridCol w:w="912"/>
        <w:gridCol w:w="1497"/>
      </w:tblGrid>
      <w:tr w14:paraId="475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2" w:type="pct"/>
            <w:noWrap w:val="0"/>
            <w:vAlign w:val="center"/>
          </w:tcPr>
          <w:p w14:paraId="54D35842">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256" w:type="pct"/>
            <w:noWrap w:val="0"/>
            <w:vAlign w:val="center"/>
          </w:tcPr>
          <w:p w14:paraId="5E0C6461">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1" w:type="pct"/>
            <w:noWrap w:val="0"/>
            <w:vAlign w:val="center"/>
          </w:tcPr>
          <w:p w14:paraId="7E34BE7B">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39" w:type="pct"/>
            <w:noWrap w:val="0"/>
            <w:vAlign w:val="center"/>
          </w:tcPr>
          <w:p w14:paraId="65C7415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14:paraId="54ED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92" w:type="pct"/>
            <w:noWrap w:val="0"/>
            <w:vAlign w:val="center"/>
          </w:tcPr>
          <w:p w14:paraId="73454290">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256" w:type="pct"/>
            <w:noWrap w:val="0"/>
            <w:vAlign w:val="center"/>
          </w:tcPr>
          <w:p w14:paraId="2077600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1" w:type="pct"/>
            <w:noWrap w:val="0"/>
            <w:vAlign w:val="center"/>
          </w:tcPr>
          <w:p w14:paraId="5C997477">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03C1F4A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14:paraId="515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92" w:type="pct"/>
            <w:noWrap w:val="0"/>
            <w:vAlign w:val="center"/>
          </w:tcPr>
          <w:p w14:paraId="1D80CC9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256" w:type="pct"/>
            <w:noWrap w:val="0"/>
            <w:vAlign w:val="center"/>
          </w:tcPr>
          <w:p w14:paraId="57E28AE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1" w:type="pct"/>
            <w:noWrap w:val="0"/>
            <w:vAlign w:val="center"/>
          </w:tcPr>
          <w:p w14:paraId="286C2793">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39" w:type="pct"/>
            <w:noWrap w:val="0"/>
            <w:vAlign w:val="center"/>
          </w:tcPr>
          <w:p w14:paraId="42C7378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14:paraId="052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92" w:type="pct"/>
            <w:noWrap w:val="0"/>
            <w:vAlign w:val="center"/>
          </w:tcPr>
          <w:p w14:paraId="5CFA2ADF">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256" w:type="pct"/>
            <w:shd w:val="clear" w:color="auto" w:fill="auto"/>
            <w:noWrap w:val="0"/>
            <w:vAlign w:val="center"/>
          </w:tcPr>
          <w:p w14:paraId="0A2509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1" w:type="pct"/>
            <w:shd w:val="clear" w:color="auto" w:fill="auto"/>
            <w:noWrap w:val="0"/>
            <w:vAlign w:val="center"/>
          </w:tcPr>
          <w:p w14:paraId="1D9CB619">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910778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盖章</w:t>
            </w:r>
          </w:p>
        </w:tc>
      </w:tr>
      <w:tr w14:paraId="36A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392" w:type="pct"/>
            <w:noWrap w:val="0"/>
            <w:vAlign w:val="center"/>
          </w:tcPr>
          <w:p w14:paraId="637F240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256" w:type="pct"/>
            <w:shd w:val="clear" w:color="auto" w:fill="auto"/>
            <w:noWrap w:val="0"/>
            <w:vAlign w:val="center"/>
          </w:tcPr>
          <w:p w14:paraId="24FFDEED">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1" w:type="pct"/>
            <w:shd w:val="clear" w:color="auto" w:fill="auto"/>
            <w:noWrap w:val="0"/>
            <w:vAlign w:val="center"/>
          </w:tcPr>
          <w:p w14:paraId="61A7CF0F">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39" w:type="pct"/>
            <w:shd w:val="clear" w:color="auto" w:fill="auto"/>
            <w:noWrap w:val="0"/>
            <w:vAlign w:val="center"/>
          </w:tcPr>
          <w:p w14:paraId="369458A8">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网页截图盖公章</w:t>
            </w:r>
          </w:p>
        </w:tc>
      </w:tr>
      <w:tr w14:paraId="3A1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pct"/>
            <w:noWrap w:val="0"/>
            <w:vAlign w:val="center"/>
          </w:tcPr>
          <w:p w14:paraId="2111DE38">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256" w:type="pct"/>
            <w:noWrap w:val="0"/>
            <w:vAlign w:val="center"/>
          </w:tcPr>
          <w:p w14:paraId="1868FD0C">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提供的作业的人员具备特种作业操作证（电工作业），高压电工作业证。</w:t>
            </w:r>
          </w:p>
        </w:tc>
        <w:tc>
          <w:tcPr>
            <w:tcW w:w="511" w:type="pct"/>
            <w:noWrap w:val="0"/>
            <w:vAlign w:val="center"/>
          </w:tcPr>
          <w:p w14:paraId="72980604">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39" w:type="pct"/>
            <w:noWrap w:val="0"/>
            <w:vAlign w:val="center"/>
          </w:tcPr>
          <w:p w14:paraId="6264DAF9">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r w14:paraId="282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92" w:type="pct"/>
            <w:noWrap w:val="0"/>
            <w:vAlign w:val="center"/>
          </w:tcPr>
          <w:p w14:paraId="2E81499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256" w:type="pct"/>
            <w:noWrap w:val="0"/>
            <w:vAlign w:val="center"/>
          </w:tcPr>
          <w:p w14:paraId="4BEDD5F8">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具备相应电压等级和业务范围的承修、承试资质。</w:t>
            </w:r>
          </w:p>
        </w:tc>
        <w:tc>
          <w:tcPr>
            <w:tcW w:w="511" w:type="pct"/>
            <w:noWrap w:val="0"/>
            <w:vAlign w:val="center"/>
          </w:tcPr>
          <w:p w14:paraId="1F4F69D6">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有效</w:t>
            </w:r>
          </w:p>
        </w:tc>
        <w:tc>
          <w:tcPr>
            <w:tcW w:w="839" w:type="pct"/>
            <w:noWrap w:val="0"/>
            <w:vAlign w:val="center"/>
          </w:tcPr>
          <w:p w14:paraId="56F03F65">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复印件</w:t>
            </w:r>
          </w:p>
        </w:tc>
      </w:tr>
      <w:tr w14:paraId="5D3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2" w:type="pct"/>
            <w:noWrap w:val="0"/>
            <w:vAlign w:val="center"/>
          </w:tcPr>
          <w:p w14:paraId="6347D034">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7</w:t>
            </w:r>
          </w:p>
        </w:tc>
        <w:tc>
          <w:tcPr>
            <w:tcW w:w="3256" w:type="pct"/>
            <w:noWrap w:val="0"/>
            <w:vAlign w:val="center"/>
          </w:tcPr>
          <w:p w14:paraId="6AC71881">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具备安全生产许可证</w:t>
            </w:r>
          </w:p>
        </w:tc>
        <w:tc>
          <w:tcPr>
            <w:tcW w:w="511" w:type="pct"/>
            <w:noWrap w:val="0"/>
            <w:vAlign w:val="center"/>
          </w:tcPr>
          <w:p w14:paraId="181B9554">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有效</w:t>
            </w:r>
          </w:p>
        </w:tc>
        <w:tc>
          <w:tcPr>
            <w:tcW w:w="839" w:type="pct"/>
            <w:noWrap w:val="0"/>
            <w:vAlign w:val="center"/>
          </w:tcPr>
          <w:p w14:paraId="0A6B7EED">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复印件</w:t>
            </w:r>
          </w:p>
        </w:tc>
      </w:tr>
      <w:tr w14:paraId="13CC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2" w:type="pct"/>
            <w:noWrap w:val="0"/>
            <w:vAlign w:val="center"/>
          </w:tcPr>
          <w:p w14:paraId="6C97E152">
            <w:pPr>
              <w:snapToGrid w:val="0"/>
              <w:spacing w:line="240" w:lineRule="auto"/>
              <w:contextualSpacing/>
              <w:rPr>
                <w:rFonts w:hint="default" w:ascii="仿宋" w:hAnsi="仿宋" w:eastAsia="仿宋" w:cs="仿宋"/>
                <w:color w:val="000000"/>
                <w:spacing w:val="2"/>
                <w:sz w:val="32"/>
                <w:szCs w:val="32"/>
                <w:lang w:val="en-US" w:eastAsia="zh-CN"/>
              </w:rPr>
            </w:pPr>
          </w:p>
        </w:tc>
        <w:tc>
          <w:tcPr>
            <w:tcW w:w="3256" w:type="pct"/>
            <w:noWrap w:val="0"/>
            <w:vAlign w:val="center"/>
          </w:tcPr>
          <w:p w14:paraId="3CC69F2B">
            <w:pPr>
              <w:snapToGrid w:val="0"/>
              <w:spacing w:line="240" w:lineRule="auto"/>
              <w:contextualSpacing/>
              <w:rPr>
                <w:rFonts w:hint="default" w:ascii="仿宋" w:hAnsi="仿宋" w:eastAsia="仿宋" w:cs="仿宋"/>
                <w:color w:val="000000"/>
                <w:spacing w:val="2"/>
                <w:sz w:val="32"/>
                <w:szCs w:val="32"/>
                <w:lang w:val="en-US" w:eastAsia="zh-CN"/>
              </w:rPr>
            </w:pPr>
          </w:p>
        </w:tc>
        <w:tc>
          <w:tcPr>
            <w:tcW w:w="511" w:type="pct"/>
            <w:noWrap w:val="0"/>
            <w:vAlign w:val="center"/>
          </w:tcPr>
          <w:p w14:paraId="70DAD64F">
            <w:pPr>
              <w:snapToGrid w:val="0"/>
              <w:spacing w:line="240" w:lineRule="auto"/>
              <w:contextualSpacing/>
              <w:rPr>
                <w:rFonts w:hint="default" w:ascii="仿宋" w:hAnsi="仿宋" w:eastAsia="仿宋" w:cs="仿宋"/>
                <w:color w:val="000000"/>
                <w:spacing w:val="2"/>
                <w:sz w:val="32"/>
                <w:szCs w:val="32"/>
                <w:lang w:val="en-US" w:eastAsia="zh-CN"/>
              </w:rPr>
            </w:pPr>
          </w:p>
        </w:tc>
        <w:tc>
          <w:tcPr>
            <w:tcW w:w="839" w:type="pct"/>
            <w:noWrap w:val="0"/>
            <w:vAlign w:val="center"/>
          </w:tcPr>
          <w:p w14:paraId="7BFAF613">
            <w:pPr>
              <w:snapToGrid w:val="0"/>
              <w:spacing w:line="240" w:lineRule="auto"/>
              <w:contextualSpacing/>
              <w:rPr>
                <w:rFonts w:hint="default" w:ascii="仿宋" w:hAnsi="仿宋" w:eastAsia="仿宋" w:cs="仿宋"/>
                <w:color w:val="000000"/>
                <w:spacing w:val="2"/>
                <w:sz w:val="32"/>
                <w:szCs w:val="32"/>
                <w:lang w:val="en-US" w:eastAsia="zh-CN"/>
              </w:rPr>
            </w:pPr>
          </w:p>
        </w:tc>
      </w:tr>
    </w:tbl>
    <w:p w14:paraId="0C144795">
      <w:pPr>
        <w:pStyle w:val="5"/>
        <w:rPr>
          <w:rFonts w:hint="eastAsia" w:ascii="仿宋" w:hAnsi="仿宋" w:eastAsia="仿宋" w:cs="仿宋"/>
          <w:color w:val="auto"/>
          <w:sz w:val="30"/>
          <w:szCs w:val="30"/>
          <w:highlight w:val="none"/>
          <w:lang w:eastAsia="zh-CN"/>
        </w:rPr>
      </w:pPr>
    </w:p>
    <w:p w14:paraId="5B02DBCE">
      <w:pPr>
        <w:autoSpaceDN w:val="0"/>
        <w:spacing w:line="240" w:lineRule="auto"/>
        <w:ind w:firstLine="6560" w:firstLineChars="2050"/>
        <w:rPr>
          <w:rFonts w:hint="eastAsia" w:ascii="仿宋" w:hAnsi="仿宋" w:eastAsia="仿宋" w:cs="仿宋"/>
          <w:color w:val="auto"/>
          <w:kern w:val="2"/>
          <w:sz w:val="32"/>
          <w:szCs w:val="32"/>
        </w:rPr>
      </w:pPr>
    </w:p>
    <w:p w14:paraId="3B727D9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23A648E">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14:paraId="72D33233">
      <w:pPr>
        <w:pStyle w:val="5"/>
        <w:rPr>
          <w:rFonts w:hint="eastAsia" w:ascii="黑体" w:hAnsi="黑体" w:eastAsia="黑体" w:cs="黑体"/>
          <w:lang w:val="en-US" w:eastAsia="zh-CN"/>
        </w:rPr>
      </w:pPr>
    </w:p>
    <w:p w14:paraId="28B9B89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项目情况：</w:t>
      </w:r>
      <w:r>
        <w:rPr>
          <w:rFonts w:hint="eastAsia" w:ascii="仿宋_GB2312" w:eastAsia="仿宋_GB2312"/>
          <w:sz w:val="32"/>
          <w:szCs w:val="32"/>
        </w:rPr>
        <w:t>医院630KVA箱</w:t>
      </w:r>
      <w:bookmarkStart w:id="16" w:name="OLE_LINK1"/>
      <w:bookmarkStart w:id="17" w:name="OLE_LINK2"/>
      <w:r>
        <w:rPr>
          <w:rFonts w:hint="eastAsia" w:ascii="仿宋_GB2312" w:eastAsia="仿宋_GB2312"/>
          <w:sz w:val="32"/>
          <w:szCs w:val="32"/>
        </w:rPr>
        <w:t>式变压器</w:t>
      </w:r>
      <w:bookmarkEnd w:id="16"/>
      <w:bookmarkEnd w:id="17"/>
      <w:r>
        <w:rPr>
          <w:rFonts w:hint="eastAsia" w:ascii="仿宋_GB2312" w:eastAsia="仿宋_GB2312"/>
          <w:sz w:val="32"/>
          <w:szCs w:val="32"/>
        </w:rPr>
        <w:t>2023年5月曾维保过一次，鉴于2024年高温持续时间长且医院的医疗设备增加越来越多，为保证医院用电安全和排除隐患，拟在五月中下旬对箱变进行一次较全面的维保。</w:t>
      </w:r>
    </w:p>
    <w:p w14:paraId="2E758947">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14:paraId="0058DE7B">
      <w:pPr>
        <w:rPr>
          <w:rFonts w:hint="eastAsia" w:ascii="仿宋" w:hAnsi="仿宋" w:eastAsia="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sz w:val="32"/>
          <w:szCs w:val="32"/>
        </w:rPr>
        <w:t>1.箱变高压</w:t>
      </w:r>
      <w:r>
        <w:rPr>
          <w:rFonts w:hint="eastAsia" w:ascii="仿宋" w:hAnsi="仿宋" w:eastAsia="仿宋"/>
          <w:sz w:val="32"/>
          <w:szCs w:val="32"/>
          <w:lang w:val="en-US" w:eastAsia="zh-CN"/>
        </w:rPr>
        <w:t>侧</w:t>
      </w:r>
      <w:r>
        <w:rPr>
          <w:rFonts w:hint="eastAsia" w:ascii="仿宋" w:hAnsi="仿宋" w:eastAsia="仿宋"/>
          <w:sz w:val="32"/>
          <w:szCs w:val="32"/>
        </w:rPr>
        <w:t>开关柜耐压试验；</w:t>
      </w:r>
    </w:p>
    <w:p w14:paraId="0CA7A64F">
      <w:pPr>
        <w:ind w:firstLine="640" w:firstLineChars="200"/>
        <w:rPr>
          <w:rFonts w:hint="eastAsia" w:ascii="仿宋" w:hAnsi="仿宋" w:eastAsia="仿宋"/>
          <w:sz w:val="32"/>
          <w:szCs w:val="32"/>
        </w:rPr>
      </w:pPr>
      <w:r>
        <w:rPr>
          <w:rFonts w:hint="eastAsia" w:ascii="仿宋" w:hAnsi="仿宋" w:eastAsia="仿宋"/>
          <w:sz w:val="32"/>
          <w:szCs w:val="32"/>
        </w:rPr>
        <w:t>2.备自投装置检查校验；</w:t>
      </w:r>
    </w:p>
    <w:p w14:paraId="4374CC8C">
      <w:pPr>
        <w:ind w:firstLine="640" w:firstLineChars="200"/>
        <w:rPr>
          <w:rFonts w:hint="eastAsia" w:ascii="仿宋" w:hAnsi="仿宋" w:eastAsia="仿宋"/>
          <w:sz w:val="32"/>
          <w:szCs w:val="32"/>
        </w:rPr>
      </w:pPr>
      <w:r>
        <w:rPr>
          <w:rFonts w:hint="eastAsia" w:ascii="仿宋" w:hAnsi="仿宋" w:eastAsia="仿宋"/>
          <w:sz w:val="32"/>
          <w:szCs w:val="32"/>
        </w:rPr>
        <w:t>3.变压器耐压试验；</w:t>
      </w:r>
    </w:p>
    <w:p w14:paraId="1CF4F5CA">
      <w:pPr>
        <w:ind w:firstLine="640" w:firstLineChars="200"/>
        <w:rPr>
          <w:rFonts w:hint="eastAsia" w:ascii="仿宋" w:hAnsi="仿宋" w:eastAsia="仿宋"/>
          <w:sz w:val="32"/>
          <w:szCs w:val="32"/>
        </w:rPr>
      </w:pPr>
      <w:r>
        <w:rPr>
          <w:rFonts w:hint="eastAsia" w:ascii="仿宋" w:hAnsi="仿宋" w:eastAsia="仿宋"/>
          <w:sz w:val="32"/>
          <w:szCs w:val="32"/>
        </w:rPr>
        <w:t>4.低压电室投切试验；</w:t>
      </w:r>
    </w:p>
    <w:p w14:paraId="27B0A20A">
      <w:pPr>
        <w:ind w:firstLine="640" w:firstLineChars="200"/>
        <w:rPr>
          <w:rFonts w:hint="eastAsia" w:ascii="仿宋" w:hAnsi="仿宋" w:eastAsia="仿宋"/>
          <w:sz w:val="32"/>
          <w:szCs w:val="32"/>
        </w:rPr>
      </w:pPr>
      <w:r>
        <w:rPr>
          <w:rFonts w:hint="eastAsia" w:ascii="仿宋" w:hAnsi="仿宋" w:eastAsia="仿宋"/>
          <w:sz w:val="32"/>
          <w:szCs w:val="32"/>
        </w:rPr>
        <w:t>5.低压开关柜分合闸试验；</w:t>
      </w:r>
    </w:p>
    <w:p w14:paraId="2B074D22">
      <w:pPr>
        <w:ind w:firstLine="640" w:firstLineChars="200"/>
        <w:rPr>
          <w:rFonts w:hint="eastAsia" w:ascii="仿宋" w:hAnsi="仿宋" w:eastAsia="仿宋"/>
          <w:sz w:val="32"/>
          <w:szCs w:val="32"/>
        </w:rPr>
      </w:pPr>
      <w:r>
        <w:rPr>
          <w:rFonts w:hint="eastAsia" w:ascii="仿宋" w:hAnsi="仿宋" w:eastAsia="仿宋"/>
          <w:sz w:val="32"/>
          <w:szCs w:val="32"/>
        </w:rPr>
        <w:t>6.变压器室门及连锁机构检查、紧固；</w:t>
      </w:r>
    </w:p>
    <w:p w14:paraId="6496B8E9">
      <w:pPr>
        <w:ind w:firstLine="640" w:firstLineChars="200"/>
        <w:rPr>
          <w:rFonts w:hint="eastAsia" w:ascii="仿宋" w:hAnsi="仿宋" w:eastAsia="仿宋"/>
          <w:sz w:val="32"/>
          <w:szCs w:val="32"/>
        </w:rPr>
      </w:pPr>
      <w:r>
        <w:rPr>
          <w:rFonts w:hint="eastAsia" w:ascii="仿宋" w:hAnsi="仿宋" w:eastAsia="仿宋"/>
          <w:sz w:val="32"/>
          <w:szCs w:val="32"/>
        </w:rPr>
        <w:t>7.控制导线检查、紧固；</w:t>
      </w:r>
    </w:p>
    <w:p w14:paraId="4312B6FF">
      <w:pPr>
        <w:ind w:firstLine="640" w:firstLineChars="200"/>
        <w:rPr>
          <w:rFonts w:hint="eastAsia" w:ascii="仿宋" w:hAnsi="仿宋" w:eastAsia="仿宋"/>
          <w:sz w:val="32"/>
          <w:szCs w:val="32"/>
        </w:rPr>
      </w:pPr>
      <w:r>
        <w:rPr>
          <w:rFonts w:hint="eastAsia" w:ascii="仿宋" w:hAnsi="仿宋" w:eastAsia="仿宋"/>
          <w:sz w:val="32"/>
          <w:szCs w:val="32"/>
        </w:rPr>
        <w:t>8.温控风冷系统检查（更换轴流风机4台、医院自行准备）；</w:t>
      </w:r>
    </w:p>
    <w:p w14:paraId="749A6883">
      <w:pPr>
        <w:ind w:firstLine="640" w:firstLineChars="200"/>
        <w:rPr>
          <w:rFonts w:hint="eastAsia" w:ascii="仿宋" w:hAnsi="仿宋" w:eastAsia="仿宋"/>
          <w:sz w:val="32"/>
          <w:szCs w:val="32"/>
        </w:rPr>
      </w:pPr>
      <w:r>
        <w:rPr>
          <w:rFonts w:hint="eastAsia" w:ascii="仿宋" w:hAnsi="仿宋" w:eastAsia="仿宋"/>
          <w:sz w:val="32"/>
          <w:szCs w:val="32"/>
        </w:rPr>
        <w:t>9.清扫设备及高低压电缆、铜排、螺栓等连接件紧固。</w:t>
      </w:r>
    </w:p>
    <w:p w14:paraId="4F82F7B0">
      <w:pPr>
        <w:pStyle w:val="16"/>
        <w:numPr>
          <w:ilvl w:val="0"/>
          <w:numId w:val="0"/>
        </w:numPr>
        <w:spacing w:line="240" w:lineRule="auto"/>
        <w:ind w:leftChars="0"/>
        <w:rPr>
          <w:rFonts w:hint="default" w:ascii="仿宋" w:hAnsi="仿宋" w:eastAsia="仿宋" w:cs="仿宋"/>
          <w:sz w:val="32"/>
          <w:szCs w:val="32"/>
          <w:lang w:val="en-US" w:eastAsia="zh-CN"/>
        </w:rPr>
      </w:pPr>
    </w:p>
    <w:p w14:paraId="5209AB70">
      <w:pPr>
        <w:pStyle w:val="16"/>
        <w:numPr>
          <w:ilvl w:val="0"/>
          <w:numId w:val="0"/>
        </w:numPr>
        <w:spacing w:line="240" w:lineRule="auto"/>
        <w:ind w:leftChars="0"/>
        <w:rPr>
          <w:rFonts w:hint="eastAsia" w:ascii="仿宋" w:hAnsi="仿宋" w:eastAsia="仿宋" w:cs="仿宋"/>
          <w:sz w:val="32"/>
          <w:szCs w:val="32"/>
          <w:lang w:val="en-US" w:eastAsia="zh-CN"/>
        </w:rPr>
      </w:pPr>
    </w:p>
    <w:p w14:paraId="675DE11C">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14:paraId="0726873E">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响应时间：合同签订后30日内完成维保</w:t>
      </w:r>
    </w:p>
    <w:p w14:paraId="61CE8424">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付款方式：完成维保验收并收到票据以后60日内支付款项</w:t>
      </w:r>
    </w:p>
    <w:p w14:paraId="102DC8F1">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14:paraId="341BBA68">
      <w:pPr>
        <w:rPr>
          <w:rFonts w:hint="eastAsia" w:ascii="黑体" w:hAnsi="黑体" w:eastAsia="黑体" w:cs="黑体"/>
          <w:lang w:eastAsia="zh-CN"/>
        </w:rPr>
      </w:pPr>
    </w:p>
    <w:p w14:paraId="45896D3B">
      <w:pPr>
        <w:pStyle w:val="3"/>
        <w:rPr>
          <w:rFonts w:hint="eastAsia" w:ascii="黑体" w:hAnsi="黑体" w:eastAsia="黑体" w:cs="黑体"/>
          <w:lang w:eastAsia="zh-CN"/>
        </w:rPr>
      </w:pPr>
    </w:p>
    <w:p w14:paraId="1FED6F53">
      <w:pPr>
        <w:rPr>
          <w:rFonts w:hint="eastAsia" w:ascii="黑体" w:hAnsi="黑体" w:eastAsia="黑体" w:cs="黑体"/>
          <w:lang w:eastAsia="zh-CN"/>
        </w:rPr>
      </w:pPr>
      <w:r>
        <w:rPr>
          <w:rFonts w:hint="eastAsia" w:ascii="黑体" w:hAnsi="黑体" w:eastAsia="黑体" w:cs="黑体"/>
          <w:lang w:eastAsia="zh-CN"/>
        </w:rPr>
        <w:br w:type="page"/>
      </w:r>
    </w:p>
    <w:p w14:paraId="4C773619">
      <w:pPr>
        <w:pStyle w:val="16"/>
        <w:rPr>
          <w:rFonts w:hint="eastAsia" w:ascii="黑体" w:hAnsi="黑体" w:eastAsia="黑体" w:cs="黑体"/>
          <w:lang w:eastAsia="zh-CN"/>
        </w:rPr>
      </w:pPr>
    </w:p>
    <w:p w14:paraId="5335AE7A">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8998" w:type="dxa"/>
        <w:jc w:val="center"/>
        <w:tblLayout w:type="fixed"/>
        <w:tblCellMar>
          <w:top w:w="0" w:type="dxa"/>
          <w:left w:w="108" w:type="dxa"/>
          <w:bottom w:w="0" w:type="dxa"/>
          <w:right w:w="108" w:type="dxa"/>
        </w:tblCellMar>
      </w:tblPr>
      <w:tblGrid>
        <w:gridCol w:w="523"/>
        <w:gridCol w:w="924"/>
        <w:gridCol w:w="777"/>
        <w:gridCol w:w="5883"/>
        <w:gridCol w:w="891"/>
      </w:tblGrid>
      <w:tr w14:paraId="1752BA00">
        <w:tblPrEx>
          <w:tblCellMar>
            <w:top w:w="0" w:type="dxa"/>
            <w:left w:w="108" w:type="dxa"/>
            <w:bottom w:w="0" w:type="dxa"/>
            <w:right w:w="108" w:type="dxa"/>
          </w:tblCellMar>
        </w:tblPrEx>
        <w:trPr>
          <w:cantSplit/>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11CB749E">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61DA18C5">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14:paraId="14F97A5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5158D33D">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49E397B3">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C02B6C0">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14:paraId="462CFE23">
        <w:tblPrEx>
          <w:tblCellMar>
            <w:top w:w="0" w:type="dxa"/>
            <w:left w:w="108" w:type="dxa"/>
            <w:bottom w:w="0" w:type="dxa"/>
            <w:right w:w="108" w:type="dxa"/>
          </w:tblCellMar>
        </w:tblPrEx>
        <w:trPr>
          <w:trHeight w:val="2616"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1A791FDC">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3681FC9">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6F8E84A1">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40</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0E00C760">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满足招标文件要求且投标价格最低的投标报价为评标基准价，其价格分为满分。其他供应商的价格分统一按照下列公式计算：投标报价得分=(评标基准价÷投标报价)×40%×100；（最低价基准法）</w:t>
            </w:r>
          </w:p>
          <w:p w14:paraId="2525B7A8">
            <w:pPr>
              <w:rPr>
                <w:rFonts w:hint="eastAsia" w:ascii="仿宋" w:hAnsi="仿宋" w:eastAsia="仿宋" w:cs="仿宋"/>
                <w:kern w:val="1"/>
                <w:sz w:val="32"/>
                <w:szCs w:val="32"/>
                <w:lang w:val="en-US" w:eastAsia="zh-CN"/>
              </w:rPr>
            </w:pP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5A2DA58E">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14:paraId="795ECE3E">
        <w:tblPrEx>
          <w:tblCellMar>
            <w:top w:w="0" w:type="dxa"/>
            <w:left w:w="108" w:type="dxa"/>
            <w:bottom w:w="0" w:type="dxa"/>
            <w:right w:w="108" w:type="dxa"/>
          </w:tblCellMar>
        </w:tblPrEx>
        <w:trPr>
          <w:trHeight w:val="1638"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48A007B6">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70DC8546">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1DD5E2C6">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28</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73DF35EE">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根据供应商对技术，完全响应文件要求没有负偏离的得满分，有一项负偏离的扣2分，扣完为止</w:t>
            </w:r>
            <w:r>
              <w:rPr>
                <w:rFonts w:hint="eastAsia" w:ascii="仿宋" w:hAnsi="仿宋" w:eastAsia="仿宋" w:cs="仿宋"/>
                <w:kern w:val="1"/>
                <w:sz w:val="32"/>
                <w:szCs w:val="32"/>
              </w:rPr>
              <w:t>。</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6926BAF0">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14:paraId="76988B12">
        <w:tblPrEx>
          <w:tblCellMar>
            <w:top w:w="0" w:type="dxa"/>
            <w:left w:w="108" w:type="dxa"/>
            <w:bottom w:w="0" w:type="dxa"/>
            <w:right w:w="108" w:type="dxa"/>
          </w:tblCellMar>
        </w:tblPrEx>
        <w:trPr>
          <w:trHeight w:val="1711" w:hRule="atLeast"/>
          <w:jc w:val="center"/>
        </w:trPr>
        <w:tc>
          <w:tcPr>
            <w:tcW w:w="523" w:type="dxa"/>
            <w:tcBorders>
              <w:top w:val="single" w:color="000000" w:sz="4" w:space="0"/>
              <w:left w:val="single" w:color="000000" w:sz="4" w:space="0"/>
              <w:bottom w:val="single" w:color="000000" w:sz="4" w:space="0"/>
              <w:right w:val="single" w:color="000000" w:sz="4" w:space="0"/>
            </w:tcBorders>
            <w:noWrap/>
            <w:vAlign w:val="center"/>
          </w:tcPr>
          <w:p w14:paraId="487FCF6A">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0E1C8920">
            <w:pPr>
              <w:spacing w:line="320" w:lineRule="atLeast"/>
              <w:jc w:val="center"/>
              <w:rPr>
                <w:rFonts w:hint="eastAsia" w:ascii="仿宋" w:hAnsi="仿宋" w:eastAsia="仿宋" w:cs="仿宋"/>
                <w:sz w:val="32"/>
                <w:szCs w:val="32"/>
              </w:rPr>
            </w:pPr>
          </w:p>
          <w:p w14:paraId="05377DEB">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sz w:val="32"/>
                <w:szCs w:val="32"/>
                <w:lang w:val="en-US" w:eastAsia="zh-CN"/>
              </w:rPr>
              <w:t>维护</w:t>
            </w:r>
            <w:r>
              <w:rPr>
                <w:rFonts w:hint="eastAsia" w:ascii="仿宋" w:hAnsi="仿宋" w:eastAsia="仿宋" w:cs="仿宋"/>
                <w:kern w:val="1"/>
                <w:sz w:val="32"/>
                <w:szCs w:val="32"/>
                <w:lang w:val="en-US" w:eastAsia="zh-CN"/>
              </w:rPr>
              <w:t>方案</w:t>
            </w:r>
          </w:p>
          <w:p w14:paraId="55B3AFD1">
            <w:pPr>
              <w:spacing w:line="320" w:lineRule="atLeast"/>
              <w:jc w:val="center"/>
              <w:rPr>
                <w:rFonts w:hint="eastAsia" w:ascii="仿宋" w:hAnsi="仿宋" w:eastAsia="仿宋" w:cs="仿宋"/>
                <w:sz w:val="32"/>
                <w:szCs w:val="32"/>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75EAB4D1">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32</w:t>
            </w:r>
          </w:p>
        </w:tc>
        <w:tc>
          <w:tcPr>
            <w:tcW w:w="5883" w:type="dxa"/>
            <w:tcBorders>
              <w:top w:val="single" w:color="000000" w:sz="4" w:space="0"/>
              <w:left w:val="single" w:color="000000" w:sz="4" w:space="0"/>
              <w:bottom w:val="single" w:color="000000" w:sz="4" w:space="0"/>
              <w:right w:val="single" w:color="000000" w:sz="4" w:space="0"/>
            </w:tcBorders>
            <w:noWrap/>
            <w:vAlign w:val="center"/>
          </w:tcPr>
          <w:p w14:paraId="0122B30A">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项目实施方案。</w:t>
            </w:r>
          </w:p>
          <w:p w14:paraId="7E672CDC">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2.项目管理。</w:t>
            </w:r>
          </w:p>
          <w:p w14:paraId="26279EBF">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3.人员要求。</w:t>
            </w:r>
          </w:p>
          <w:p w14:paraId="37DF1972">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4.服务标准。</w:t>
            </w:r>
          </w:p>
          <w:p w14:paraId="0A711F81">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5.安全生产应急预案。</w:t>
            </w:r>
          </w:p>
          <w:p w14:paraId="546BECE8">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以上5项内容完整符合实际每项得6.4分，方案每有一项缺失不得分，每有一项缺陷扣3分，扣完为止。</w:t>
            </w:r>
          </w:p>
        </w:tc>
        <w:tc>
          <w:tcPr>
            <w:tcW w:w="891" w:type="dxa"/>
            <w:tcBorders>
              <w:top w:val="single" w:color="000000" w:sz="4" w:space="0"/>
              <w:left w:val="single" w:color="000000" w:sz="4" w:space="0"/>
              <w:bottom w:val="single" w:color="000000" w:sz="4" w:space="0"/>
              <w:right w:val="single" w:color="000000" w:sz="4" w:space="0"/>
            </w:tcBorders>
            <w:noWrap/>
            <w:vAlign w:val="center"/>
          </w:tcPr>
          <w:p w14:paraId="4CF9A00D">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14:paraId="56A884EA">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1134" w:bottom="1077" w:left="1361" w:header="680" w:footer="680"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941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C2D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F18">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FA6C">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abstractNum w:abstractNumId="3">
    <w:nsid w:val="70157EBC"/>
    <w:multiLevelType w:val="singleLevel"/>
    <w:tmpl w:val="70157EBC"/>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653FAC"/>
    <w:rsid w:val="02713324"/>
    <w:rsid w:val="038264FB"/>
    <w:rsid w:val="03E45948"/>
    <w:rsid w:val="03EB6F22"/>
    <w:rsid w:val="04310280"/>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636222"/>
    <w:rsid w:val="099C0C65"/>
    <w:rsid w:val="09CF2980"/>
    <w:rsid w:val="0A5766D2"/>
    <w:rsid w:val="0B1669F3"/>
    <w:rsid w:val="0B481B96"/>
    <w:rsid w:val="0B5B6EA7"/>
    <w:rsid w:val="0B9B184D"/>
    <w:rsid w:val="0BBF2600"/>
    <w:rsid w:val="0BC64617"/>
    <w:rsid w:val="0C3E61B9"/>
    <w:rsid w:val="0CAF4438"/>
    <w:rsid w:val="0DA12370"/>
    <w:rsid w:val="0DB37F58"/>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6571DC8"/>
    <w:rsid w:val="16CB61A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935"/>
    <w:rsid w:val="219C0C5F"/>
    <w:rsid w:val="223E3923"/>
    <w:rsid w:val="22CD72A0"/>
    <w:rsid w:val="22DC6C27"/>
    <w:rsid w:val="230709BE"/>
    <w:rsid w:val="2333299E"/>
    <w:rsid w:val="23B92E0F"/>
    <w:rsid w:val="245C589E"/>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571F3F"/>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76495E"/>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DC539A"/>
    <w:rsid w:val="3AE30FAC"/>
    <w:rsid w:val="3B3A67B9"/>
    <w:rsid w:val="3B572D45"/>
    <w:rsid w:val="3B65061B"/>
    <w:rsid w:val="3BB47094"/>
    <w:rsid w:val="3BD82555"/>
    <w:rsid w:val="3C396CD8"/>
    <w:rsid w:val="3D912EF9"/>
    <w:rsid w:val="3DA25E25"/>
    <w:rsid w:val="3E103198"/>
    <w:rsid w:val="3E5C675F"/>
    <w:rsid w:val="3EBE1131"/>
    <w:rsid w:val="3F541632"/>
    <w:rsid w:val="3F877649"/>
    <w:rsid w:val="4003626C"/>
    <w:rsid w:val="4106275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A92068D"/>
    <w:rsid w:val="4B21070C"/>
    <w:rsid w:val="4B9C5AA7"/>
    <w:rsid w:val="4C6D260E"/>
    <w:rsid w:val="4CA65850"/>
    <w:rsid w:val="4D4867BB"/>
    <w:rsid w:val="4D7854C0"/>
    <w:rsid w:val="4E1C022A"/>
    <w:rsid w:val="4E1E1D89"/>
    <w:rsid w:val="4F5A1A06"/>
    <w:rsid w:val="4FA771C2"/>
    <w:rsid w:val="4FDC7DDA"/>
    <w:rsid w:val="5003209D"/>
    <w:rsid w:val="507A7896"/>
    <w:rsid w:val="508E2B4E"/>
    <w:rsid w:val="524A480D"/>
    <w:rsid w:val="5263348D"/>
    <w:rsid w:val="526A6404"/>
    <w:rsid w:val="527E7420"/>
    <w:rsid w:val="5292301A"/>
    <w:rsid w:val="52C10CD7"/>
    <w:rsid w:val="52F64CB8"/>
    <w:rsid w:val="52FB39A7"/>
    <w:rsid w:val="531641E9"/>
    <w:rsid w:val="5446604D"/>
    <w:rsid w:val="547E1AE0"/>
    <w:rsid w:val="54F554AC"/>
    <w:rsid w:val="551A0D5D"/>
    <w:rsid w:val="55EE4C06"/>
    <w:rsid w:val="561A148B"/>
    <w:rsid w:val="565B213D"/>
    <w:rsid w:val="56773B8D"/>
    <w:rsid w:val="56D444B4"/>
    <w:rsid w:val="5708338B"/>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55E89"/>
    <w:rsid w:val="5CC74DB0"/>
    <w:rsid w:val="5DA41796"/>
    <w:rsid w:val="5DC167D7"/>
    <w:rsid w:val="5F0E08C6"/>
    <w:rsid w:val="5F5075CA"/>
    <w:rsid w:val="5F7007A2"/>
    <w:rsid w:val="5F85487D"/>
    <w:rsid w:val="5FB650D9"/>
    <w:rsid w:val="6096215E"/>
    <w:rsid w:val="626070DF"/>
    <w:rsid w:val="62B86D17"/>
    <w:rsid w:val="62C824CA"/>
    <w:rsid w:val="635F68CB"/>
    <w:rsid w:val="642A2386"/>
    <w:rsid w:val="64677320"/>
    <w:rsid w:val="653C0392"/>
    <w:rsid w:val="6586792A"/>
    <w:rsid w:val="65DD20B3"/>
    <w:rsid w:val="662C503A"/>
    <w:rsid w:val="66BB543F"/>
    <w:rsid w:val="66C47D68"/>
    <w:rsid w:val="67A45BAF"/>
    <w:rsid w:val="67CF5796"/>
    <w:rsid w:val="682C0CE7"/>
    <w:rsid w:val="6855309E"/>
    <w:rsid w:val="68B23C16"/>
    <w:rsid w:val="69264D03"/>
    <w:rsid w:val="694F76A8"/>
    <w:rsid w:val="69884565"/>
    <w:rsid w:val="69CF4DB4"/>
    <w:rsid w:val="69F16575"/>
    <w:rsid w:val="69FE6269"/>
    <w:rsid w:val="6B110ED0"/>
    <w:rsid w:val="6B3D74AC"/>
    <w:rsid w:val="6BF5199F"/>
    <w:rsid w:val="6C81461E"/>
    <w:rsid w:val="6CE610BF"/>
    <w:rsid w:val="6CED312F"/>
    <w:rsid w:val="6CF2654E"/>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4E5F0B"/>
    <w:rsid w:val="746F037C"/>
    <w:rsid w:val="74802750"/>
    <w:rsid w:val="74D379E1"/>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1E62DD"/>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13</Pages>
  <Words>5596</Words>
  <Characters>5808</Characters>
  <Lines>0</Lines>
  <Paragraphs>0</Paragraphs>
  <TotalTime>2</TotalTime>
  <ScaleCrop>false</ScaleCrop>
  <LinksUpToDate>false</LinksUpToDate>
  <CharactersWithSpaces>6015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徐驰</cp:lastModifiedBy>
  <cp:lastPrinted>2019-09-23T08:20:00Z</cp:lastPrinted>
  <dcterms:modified xsi:type="dcterms:W3CDTF">2025-04-09T00:54:50Z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6F48A25E1CA9488A9F55693863D49B3D</vt:lpwstr>
  </property>
  <property fmtid="{D5CDD505-2E9C-101B-9397-08002B2CF9AE}" pid="4" name="KSOTemplateDocerSaveRecord">
    <vt:lpwstr>eyJoZGlkIjoiYWViN2VmZThjMzNiOWMyOWMxMTEwM2ZiOGYwYzY1NzgiLCJ1c2VySWQiOiI2MDAwMDI4NzcifQ==</vt:lpwstr>
  </property>
</Properties>
</file>