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bookmarkStart w:id="16" w:name="_GoBack"/>
      <w:bookmarkEnd w:id="16"/>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pPr>
        <w:pStyle w:val="7"/>
        <w:rPr>
          <w:rFonts w:hint="eastAsia" w:ascii="黑体" w:hAnsi="黑体" w:eastAsia="黑体" w:cs="黑体"/>
          <w:lang w:eastAsia="zh-CN"/>
        </w:rPr>
      </w:pPr>
    </w:p>
    <w:p>
      <w:pPr>
        <w:jc w:val="center"/>
        <w:rPr>
          <w:rFonts w:hint="eastAsia" w:ascii="黑体" w:hAnsi="黑体" w:eastAsia="黑体" w:cs="黑体"/>
          <w:sz w:val="32"/>
          <w:szCs w:val="32"/>
          <w:lang w:eastAsia="zh-CN"/>
        </w:rPr>
      </w:pPr>
      <w:r>
        <w:rPr>
          <w:rFonts w:hint="eastAsia" w:ascii="黑体" w:hAnsi="黑体" w:eastAsia="黑体" w:cs="黑体"/>
          <w:color w:val="FF0000"/>
          <w:sz w:val="52"/>
          <w:szCs w:val="52"/>
          <w:lang w:val="en-US" w:eastAsia="zh-CN"/>
        </w:rPr>
        <w:t>采购</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40"/>
          <w:szCs w:val="40"/>
          <w:lang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项目名称：</w:t>
      </w:r>
      <w:r>
        <w:rPr>
          <w:rFonts w:hint="eastAsia" w:ascii="黑体" w:hAnsi="黑体" w:eastAsia="黑体" w:cs="黑体"/>
          <w:sz w:val="40"/>
          <w:szCs w:val="40"/>
          <w:lang w:val="en-US" w:eastAsia="zh-CN"/>
        </w:rPr>
        <w:t>直购电采购</w:t>
      </w:r>
    </w:p>
    <w:p>
      <w:pPr>
        <w:pStyle w:val="7"/>
        <w:rPr>
          <w:rFonts w:hint="eastAsia" w:ascii="黑体" w:hAnsi="黑体" w:eastAsia="黑体" w:cs="黑体"/>
          <w:lang w:val="en-US"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YNCG017</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2023年11月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pPr>
        <w:jc w:val="center"/>
        <w:rPr>
          <w:rFonts w:hint="eastAsia" w:ascii="黑体" w:hAnsi="黑体" w:eastAsia="黑体" w:cs="黑体"/>
          <w:sz w:val="36"/>
          <w:szCs w:val="36"/>
          <w:lang w:eastAsia="zh-CN"/>
        </w:rPr>
      </w:pPr>
      <w:r>
        <w:rPr>
          <w:rFonts w:hint="eastAsia" w:ascii="黑体" w:hAnsi="黑体" w:eastAsia="黑体" w:cs="黑体"/>
          <w:sz w:val="36"/>
          <w:szCs w:val="36"/>
          <w:lang w:val="en-US" w:eastAsia="zh-CN"/>
        </w:rPr>
        <w:t>直购电</w:t>
      </w:r>
      <w:r>
        <w:rPr>
          <w:rFonts w:hint="eastAsia" w:ascii="黑体" w:hAnsi="黑体" w:eastAsia="黑体" w:cs="黑体"/>
          <w:sz w:val="36"/>
          <w:szCs w:val="36"/>
          <w:lang w:eastAsia="zh-CN"/>
        </w:rPr>
        <w:t>院内采购公告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YNCG017  ，项目包数量：1个</w:t>
      </w:r>
    </w:p>
    <w:p>
      <w:pPr>
        <w:pStyle w:val="16"/>
        <w:spacing w:line="240" w:lineRule="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二、项目背景：采购人提供履约期内优惠电价，生产经营所需全部用电的购售电代理交易</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三、采购项目内容（详细要求请看附件）：直购电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w:t>
      </w:r>
    </w:p>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以上资料至少2套，请满足上述资质要求的供应商于</w:t>
      </w:r>
      <w:r>
        <w:rPr>
          <w:rFonts w:hint="eastAsia" w:ascii="仿宋" w:hAnsi="仿宋" w:eastAsia="仿宋" w:cs="仿宋"/>
          <w:color w:val="FF0000"/>
          <w:kern w:val="0"/>
          <w:sz w:val="32"/>
          <w:szCs w:val="32"/>
          <w:lang w:val="en-US" w:eastAsia="zh-CN"/>
        </w:rPr>
        <w:t>2023年11月 29日17:00</w:t>
      </w:r>
      <w:r>
        <w:rPr>
          <w:rFonts w:hint="eastAsia" w:ascii="仿宋" w:hAnsi="仿宋" w:eastAsia="仿宋" w:cs="仿宋"/>
          <w:color w:val="555555"/>
          <w:kern w:val="0"/>
          <w:sz w:val="32"/>
          <w:szCs w:val="32"/>
          <w:lang w:val="en-US" w:eastAsia="zh-CN"/>
        </w:rPr>
        <w:t>之前将资料送至乐山市五通桥区人民医院采购办（行政楼三楼楼梯处），在截至时间以后送到的响应文件将被拒绝并退还给供应商。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1.方案报价在60日内有效，报价包括文件编制、差旅、人工等费用。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2.在供应商满足相关资质要求及服务要求的条件下，采购采用</w:t>
      </w:r>
      <w:r>
        <w:rPr>
          <w:rFonts w:hint="eastAsia" w:ascii="仿宋" w:hAnsi="仿宋" w:eastAsia="仿宋" w:cs="仿宋"/>
          <w:color w:val="FF0000"/>
          <w:kern w:val="0"/>
          <w:sz w:val="32"/>
          <w:szCs w:val="32"/>
          <w:lang w:val="en-US" w:eastAsia="zh-CN"/>
        </w:rPr>
        <w:t>综合评分法</w:t>
      </w:r>
      <w:r>
        <w:rPr>
          <w:rFonts w:hint="eastAsia" w:ascii="仿宋" w:hAnsi="仿宋" w:eastAsia="仿宋" w:cs="仿宋"/>
          <w:color w:val="555555"/>
          <w:kern w:val="0"/>
          <w:sz w:val="32"/>
          <w:szCs w:val="32"/>
          <w:lang w:val="en-US" w:eastAsia="zh-CN"/>
        </w:rPr>
        <w:t>，中标结果由医院网站公示，中标公司请在公示后30日内到采购办签订合同，超过公示后30日不响应签订合同的视为放弃中标资格。</w:t>
      </w:r>
    </w:p>
    <w:p>
      <w:pPr>
        <w:pStyle w:val="16"/>
        <w:spacing w:line="240" w:lineRule="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3.本项目不接受联合体，不允许分包。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rPr>
        <w:t>联系人:</w:t>
      </w:r>
      <w:r>
        <w:rPr>
          <w:rFonts w:hint="eastAsia" w:ascii="仿宋" w:hAnsi="仿宋" w:eastAsia="仿宋" w:cs="仿宋"/>
          <w:color w:val="FF0000"/>
          <w:kern w:val="0"/>
          <w:sz w:val="32"/>
          <w:szCs w:val="32"/>
          <w:lang w:eastAsia="zh-CN"/>
        </w:rPr>
        <w:t>徐老师</w:t>
      </w:r>
      <w:r>
        <w:rPr>
          <w:rFonts w:hint="eastAsia" w:ascii="仿宋" w:hAnsi="仿宋" w:eastAsia="仿宋" w:cs="仿宋"/>
          <w:color w:val="FF0000"/>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联系电话:</w:t>
      </w:r>
      <w:r>
        <w:rPr>
          <w:rFonts w:hint="eastAsia" w:ascii="仿宋" w:hAnsi="仿宋" w:eastAsia="仿宋" w:cs="仿宋"/>
          <w:color w:val="555555"/>
          <w:kern w:val="0"/>
          <w:sz w:val="32"/>
          <w:szCs w:val="32"/>
          <w:lang w:val="en-US" w:eastAsia="zh-CN"/>
        </w:rPr>
        <w:t>0833-3211269</w:t>
      </w:r>
    </w:p>
    <w:p>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30"/>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项目参照《中华人民共和国政府采购法》《四川省政府采购非招标采购方式实施办法》等有关法律、法规和规章，通过</w:t>
      </w:r>
      <w:r>
        <w:rPr>
          <w:rFonts w:hint="eastAsia" w:ascii="仿宋" w:hAnsi="仿宋" w:eastAsia="仿宋" w:cs="仿宋"/>
          <w:color w:val="FF0000"/>
          <w:sz w:val="32"/>
          <w:szCs w:val="32"/>
          <w:lang w:val="en-US" w:eastAsia="zh-CN"/>
        </w:rPr>
        <w:t>综合评分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”，“询价响应文件”，“于   年  月  日  时  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原则确定成交供应商。</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7"/>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询价、采购、谈判、遴选文件</w:t>
      </w:r>
    </w:p>
    <w:p>
      <w:pPr>
        <w:rPr>
          <w:rFonts w:hint="eastAsia" w:ascii="黑体" w:hAnsi="黑体" w:eastAsia="黑体" w:cs="黑体"/>
          <w:sz w:val="84"/>
          <w:szCs w:val="84"/>
          <w:lang w:val="en-US" w:eastAsia="zh-CN"/>
        </w:rPr>
      </w:pPr>
    </w:p>
    <w:p>
      <w:pPr>
        <w:pStyle w:val="5"/>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pPr>
        <w:widowControl w:val="0"/>
        <w:adjustRightInd/>
        <w:spacing w:line="360" w:lineRule="auto"/>
        <w:ind w:firstLine="315" w:firstLineChars="98"/>
        <w:rPr>
          <w:rFonts w:hint="eastAsia" w:ascii="黑体" w:hAnsi="黑体" w:eastAsia="黑体" w:cs="黑体"/>
          <w:b/>
          <w:bCs/>
          <w:sz w:val="32"/>
          <w:szCs w:val="32"/>
        </w:rPr>
      </w:pPr>
    </w:p>
    <w:p>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pPr>
        <w:rPr>
          <w:rFonts w:hint="eastAsia" w:ascii="黑体" w:hAnsi="黑体" w:eastAsia="黑体" w:cs="黑体"/>
          <w:b/>
          <w:bCs/>
          <w:sz w:val="32"/>
          <w:szCs w:val="32"/>
        </w:rPr>
      </w:pPr>
      <w:bookmarkStart w:id="0" w:name="_Toc9490"/>
      <w:bookmarkStart w:id="1" w:name="_Toc18458"/>
      <w:bookmarkStart w:id="2" w:name="_Toc25737"/>
      <w:bookmarkStart w:id="3" w:name="_Toc5773"/>
      <w:r>
        <w:rPr>
          <w:rFonts w:hint="eastAsia" w:ascii="黑体" w:hAnsi="黑体" w:eastAsia="黑体" w:cs="黑体"/>
          <w:b/>
          <w:bCs/>
          <w:sz w:val="32"/>
          <w:szCs w:val="32"/>
        </w:rPr>
        <w:br w:type="page"/>
      </w:r>
    </w:p>
    <w:bookmarkEnd w:id="0"/>
    <w:bookmarkEnd w:id="1"/>
    <w:bookmarkEnd w:id="2"/>
    <w:bookmarkEnd w:id="3"/>
    <w:p>
      <w:pPr>
        <w:numPr>
          <w:ilvl w:val="0"/>
          <w:numId w:val="2"/>
        </w:numPr>
        <w:jc w:val="center"/>
        <w:rPr>
          <w:rFonts w:hint="eastAsia" w:ascii="黑体" w:hAnsi="黑体" w:eastAsia="黑体" w:cs="黑体"/>
          <w:b/>
          <w:sz w:val="36"/>
          <w:szCs w:val="36"/>
          <w:lang w:val="en-US" w:eastAsia="zh-CN"/>
        </w:rPr>
      </w:pPr>
      <w:bookmarkStart w:id="4" w:name="_Toc12449"/>
      <w:bookmarkStart w:id="5" w:name="_Toc439699516"/>
      <w:bookmarkStart w:id="6" w:name="_Toc17549"/>
      <w:bookmarkStart w:id="7" w:name="_Toc4003"/>
      <w:r>
        <w:rPr>
          <w:rFonts w:hint="eastAsia" w:ascii="黑体" w:hAnsi="黑体" w:eastAsia="黑体" w:cs="黑体"/>
          <w:b/>
          <w:sz w:val="36"/>
          <w:szCs w:val="36"/>
          <w:lang w:val="en-US" w:eastAsia="zh-CN"/>
        </w:rPr>
        <w:t>采购资质要求</w:t>
      </w:r>
    </w:p>
    <w:p>
      <w:pPr>
        <w:pStyle w:val="5"/>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0"/>
        <w:gridCol w:w="1035"/>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2023年以来任意三个月的缴纳税收和社保资金证明材料（银行缴款证明或税收机关、社保机关盖章的证明文件）</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供应商</w:t>
            </w:r>
            <w:r>
              <w:rPr>
                <w:rFonts w:hint="eastAsia" w:ascii="仿宋" w:hAnsi="仿宋" w:eastAsia="仿宋" w:cs="仿宋"/>
                <w:color w:val="000000"/>
                <w:spacing w:val="2"/>
                <w:sz w:val="32"/>
                <w:szCs w:val="32"/>
                <w:lang w:eastAsia="zh-CN"/>
              </w:rPr>
              <w:t>应具备要求准入条件，并在四川省电力交易平台注册并绑定数字证书。比选人应该提供直购电资质证明,四川省电力直接交易准入名单等材料复印件并加盖鲜章</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6</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3175"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840"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r>
    </w:tbl>
    <w:p>
      <w:pPr>
        <w:pStyle w:val="5"/>
        <w:rPr>
          <w:rFonts w:hint="eastAsia" w:ascii="仿宋" w:hAnsi="仿宋" w:eastAsia="仿宋" w:cs="仿宋"/>
          <w:color w:val="auto"/>
          <w:sz w:val="30"/>
          <w:szCs w:val="30"/>
          <w:highlight w:val="none"/>
          <w:lang w:eastAsia="zh-CN"/>
        </w:rPr>
      </w:pPr>
    </w:p>
    <w:p>
      <w:pPr>
        <w:pStyle w:val="6"/>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5"/>
        <w:rPr>
          <w:rFonts w:hint="eastAsia"/>
          <w:lang w:eastAsia="zh-CN"/>
        </w:rPr>
      </w:pPr>
    </w:p>
    <w:p>
      <w:pPr>
        <w:pStyle w:val="5"/>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5"/>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29"/>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24199"/>
      <w:bookmarkStart w:id="9" w:name="_Toc12426"/>
      <w:bookmarkStart w:id="10" w:name="_Toc439699522"/>
      <w:bookmarkStart w:id="11" w:name="_Toc1800"/>
      <w:bookmarkStart w:id="12" w:name="_Toc199"/>
      <w:bookmarkStart w:id="13" w:name="_Toc1287"/>
      <w:bookmarkStart w:id="14" w:name="_Toc16184"/>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7"/>
        <w:spacing w:line="240" w:lineRule="auto"/>
        <w:ind w:firstLine="0"/>
        <w:rPr>
          <w:rFonts w:hint="eastAsia" w:ascii="仿宋" w:hAnsi="仿宋" w:eastAsia="仿宋" w:cs="仿宋"/>
          <w:color w:val="auto"/>
          <w:sz w:val="32"/>
          <w:szCs w:val="32"/>
        </w:rPr>
      </w:pPr>
    </w:p>
    <w:p>
      <w:pPr>
        <w:pStyle w:val="27"/>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5"/>
        <w:rPr>
          <w:rFonts w:hint="eastAsia" w:ascii="黑体" w:hAnsi="黑体" w:eastAsia="黑体" w:cs="黑体"/>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采购要求：</w:t>
      </w:r>
    </w:p>
    <w:p>
      <w:pPr>
        <w:pStyle w:val="16"/>
        <w:numPr>
          <w:ilvl w:val="0"/>
          <w:numId w:val="0"/>
        </w:numPr>
        <w:spacing w:after="0" w:line="240" w:lineRule="auto"/>
        <w:ind w:left="640" w:leftChars="0" w:hanging="640" w:hanging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1.2024年（1月-12月）预估电量：2700000.00Kw.h。</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2.为采购人提供履约期内优惠电价，生产经营所需全部用电的购售电代理交易。</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3.供应商应按国家有关法规、规定和技术规范，为采购人提供全周期电力交易服务和用电增值服务，参与电力市场交易并按规定结算。</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4.向采购人提供真实准确的有关电力直接交易的相关信息及资料，不得提供虚假或误导性的信息。</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5.根据国家有关法规支付电力交易相关费用。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6.协助采购人申请办理电力交易有关手续。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7.向采购人和电网经营企业提供与履行相关的其它信息。</w:t>
      </w:r>
    </w:p>
    <w:p>
      <w:pPr>
        <w:pStyle w:val="16"/>
        <w:numPr>
          <w:ilvl w:val="0"/>
          <w:numId w:val="0"/>
        </w:numPr>
        <w:spacing w:after="0" w:line="240" w:lineRule="auto"/>
        <w:ind w:left="640" w:leftChars="0" w:hanging="640" w:hanging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8.水电限价0.25元/kwh，所有单位报价均不能超过最高限价，否则作为废标处理。</w:t>
      </w:r>
    </w:p>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付款方式：月结</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pPr>
        <w:pStyle w:val="16"/>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（1）签订合同后，按照四川省电力交易中心发布的2024年交易文件执行，若有变动供应商需及时向采购人汇报。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（2）供应商代采购人参与全年的双边协商和集中竞价等电力市场交易，采购人提供必要的配合。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供应商所报交易结算到户电价限价包含水电电价、电厂侧让利和输配电价、政府性基金。若输配电价、政府性基金及附加发生改变，以政府最新定价文件为依据，全合同电量交易电价的价差在电厂侧让利保持不变的前提下同步调整；</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其他要求：</w:t>
      </w:r>
    </w:p>
    <w:p>
      <w:pPr>
        <w:pStyle w:val="16"/>
        <w:numPr>
          <w:ilvl w:val="0"/>
          <w:numId w:val="0"/>
        </w:numPr>
        <w:spacing w:after="0"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（1）供应商需明确后续可提供的用电增值服务内容，为采购人提供相应服务；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（2）在购售电交易执行中，不会对采购人用电产生任何影响；</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（3）采购人不承担电量偏差考核，采购人电量偏差由供应商全额承担。（供应商须提供承诺函原件并加盖供应商公章）</w:t>
      </w:r>
    </w:p>
    <w:p>
      <w:pPr>
        <w:pStyle w:val="16"/>
        <w:numPr>
          <w:ilvl w:val="0"/>
          <w:numId w:val="0"/>
        </w:num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（4）供应商必须承担因预估电量偏差引起的一切费用风险。（供应商须提供承诺函原件并加盖供应商公章）</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pPr>
        <w:rPr>
          <w:rFonts w:hint="eastAsia" w:ascii="黑体" w:hAnsi="黑体" w:eastAsia="黑体" w:cs="黑体"/>
          <w:lang w:eastAsia="zh-CN"/>
        </w:rPr>
      </w:pPr>
    </w:p>
    <w:p>
      <w:pPr>
        <w:pStyle w:val="3"/>
        <w:rPr>
          <w:rFonts w:hint="eastAsia" w:ascii="黑体" w:hAnsi="黑体" w:eastAsia="黑体" w:cs="黑体"/>
          <w:lang w:eastAsia="zh-CN"/>
        </w:rPr>
      </w:pPr>
    </w:p>
    <w:p>
      <w:pPr>
        <w:rPr>
          <w:rFonts w:hint="eastAsia" w:ascii="黑体" w:hAnsi="黑体" w:eastAsia="黑体" w:cs="黑体"/>
          <w:lang w:eastAsia="zh-CN"/>
        </w:rPr>
      </w:pPr>
      <w:r>
        <w:rPr>
          <w:rFonts w:hint="eastAsia" w:ascii="黑体" w:hAnsi="黑体" w:eastAsia="黑体" w:cs="黑体"/>
          <w:lang w:eastAsia="zh-CN"/>
        </w:rPr>
        <w:br w:type="page"/>
      </w:r>
    </w:p>
    <w:p>
      <w:pPr>
        <w:pStyle w:val="16"/>
        <w:rPr>
          <w:rFonts w:hint="eastAsia" w:ascii="黑体" w:hAnsi="黑体" w:eastAsia="黑体" w:cs="黑体"/>
          <w:lang w:eastAsia="zh-CN"/>
        </w:rPr>
      </w:pPr>
    </w:p>
    <w:p>
      <w:pPr>
        <w:pStyle w:val="5"/>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7"/>
        <w:tblW w:w="9958" w:type="dxa"/>
        <w:jc w:val="center"/>
        <w:tblLayout w:type="fixed"/>
        <w:tblCellMar>
          <w:top w:w="0" w:type="dxa"/>
          <w:left w:w="108" w:type="dxa"/>
          <w:bottom w:w="0" w:type="dxa"/>
          <w:right w:w="108" w:type="dxa"/>
        </w:tblCellMar>
      </w:tblPr>
      <w:tblGrid>
        <w:gridCol w:w="579"/>
        <w:gridCol w:w="1023"/>
        <w:gridCol w:w="860"/>
        <w:gridCol w:w="6510"/>
        <w:gridCol w:w="986"/>
      </w:tblGrid>
      <w:tr>
        <w:tblPrEx>
          <w:tblCellMar>
            <w:top w:w="0" w:type="dxa"/>
            <w:left w:w="108" w:type="dxa"/>
            <w:bottom w:w="0" w:type="dxa"/>
            <w:right w:w="108" w:type="dxa"/>
          </w:tblCellMar>
        </w:tblPrEx>
        <w:trPr>
          <w:cantSplit/>
          <w:trHeight w:val="821"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50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满足招标文件要求且投标价格最低的投标报价为评标基准价，其价格分为满分。其他供应商的价格分统一按照下列公式计算：投标报价得分=(评标基准价÷投标报价)×50%×100；（最低价基准法）</w:t>
            </w:r>
          </w:p>
          <w:p>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2</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lang w:eastAsia="zh-CN"/>
              </w:rPr>
              <w:t>技术要求</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both"/>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32"/>
                <w:szCs w:val="32"/>
                <w:lang w:val="en-US" w:eastAsia="zh-CN"/>
              </w:rPr>
            </w:pPr>
            <w:r>
              <w:rPr>
                <w:rFonts w:hint="eastAsia" w:ascii="仿宋" w:hAnsi="仿宋" w:eastAsia="仿宋" w:cs="仿宋"/>
                <w:kern w:val="1"/>
                <w:sz w:val="32"/>
                <w:szCs w:val="32"/>
                <w:lang w:val="en-US" w:eastAsia="zh-CN"/>
              </w:rPr>
              <w:t>根据供应商对技术，完全响应文件要求没有负偏离的得满分，有一项负偏离的扣2分，扣完为止</w:t>
            </w:r>
            <w:r>
              <w:rPr>
                <w:rFonts w:hint="eastAsia" w:ascii="仿宋" w:hAnsi="仿宋" w:eastAsia="仿宋" w:cs="仿宋"/>
                <w:kern w:val="1"/>
                <w:sz w:val="32"/>
                <w:szCs w:val="32"/>
              </w:rPr>
              <w:t>。</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tblPrEx>
          <w:tblCellMar>
            <w:top w:w="0" w:type="dxa"/>
            <w:left w:w="108" w:type="dxa"/>
            <w:bottom w:w="0" w:type="dxa"/>
            <w:right w:w="108" w:type="dxa"/>
          </w:tblCellMar>
        </w:tblPrEx>
        <w:trPr>
          <w:trHeight w:val="1735"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3</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p>
          <w:p>
            <w:pPr>
              <w:spacing w:line="320" w:lineRule="atLeas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业绩</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sz w:val="32"/>
                <w:szCs w:val="32"/>
                <w:lang w:val="en-US" w:eastAsia="zh-CN"/>
              </w:rPr>
            </w:pPr>
            <w:r>
              <w:rPr>
                <w:rFonts w:hint="eastAsia" w:ascii="仿宋" w:hAnsi="仿宋" w:eastAsia="仿宋" w:cs="仿宋"/>
                <w:kern w:val="1"/>
                <w:sz w:val="32"/>
                <w:szCs w:val="32"/>
                <w:lang w:val="en-US" w:eastAsia="zh-CN"/>
              </w:rPr>
              <w:t>30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2022年以来提供一个业绩得2分，需要提供合同复印件或中标通知书。</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tblPrEx>
          <w:tblCellMar>
            <w:top w:w="0" w:type="dxa"/>
            <w:left w:w="108" w:type="dxa"/>
            <w:bottom w:w="0" w:type="dxa"/>
            <w:right w:w="108" w:type="dxa"/>
          </w:tblCellMar>
        </w:tblPrEx>
        <w:trPr>
          <w:trHeight w:val="106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lang w:val="en-US" w:eastAsia="zh-CN"/>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lang w:val="en-US" w:eastAsia="zh-CN"/>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p>
        </w:tc>
      </w:tr>
      <w:tr>
        <w:tblPrEx>
          <w:tblCellMar>
            <w:top w:w="0" w:type="dxa"/>
            <w:left w:w="108" w:type="dxa"/>
            <w:bottom w:w="0" w:type="dxa"/>
            <w:right w:w="108" w:type="dxa"/>
          </w:tblCellMar>
        </w:tblPrEx>
        <w:trPr>
          <w:trHeight w:val="1675"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sz w:val="32"/>
                <w:szCs w:val="32"/>
                <w:lang w:val="en-US" w:eastAsia="zh-CN"/>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sz w:val="32"/>
                <w:szCs w:val="32"/>
                <w:lang w:eastAsia="zh-CN"/>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both"/>
              <w:rPr>
                <w:rFonts w:hint="eastAsia" w:ascii="仿宋" w:hAnsi="仿宋" w:eastAsia="仿宋" w:cs="仿宋"/>
                <w:kern w:val="1"/>
                <w:sz w:val="32"/>
                <w:szCs w:val="32"/>
                <w:lang w:val="en-US" w:eastAsia="zh-CN"/>
              </w:rPr>
            </w:pPr>
          </w:p>
        </w:tc>
        <w:tc>
          <w:tcPr>
            <w:tcW w:w="6510"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left"/>
              <w:rPr>
                <w:rFonts w:hint="eastAsia" w:ascii="仿宋" w:hAnsi="仿宋" w:eastAsia="仿宋" w:cs="仿宋"/>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p>
        </w:tc>
      </w:tr>
    </w:tbl>
    <w:p>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D6A547E"/>
    <w:multiLevelType w:val="singleLevel"/>
    <w:tmpl w:val="1D6A547E"/>
    <w:lvl w:ilvl="0" w:tentative="0">
      <w:start w:val="1"/>
      <w:numFmt w:val="decimal"/>
      <w:suff w:val="nothing"/>
      <w:lvlText w:val="%1、"/>
      <w:lvlJc w:val="left"/>
      <w:pPr>
        <w:ind w:left="2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VmZThjMzNiOWMyOWMxMTEwM2ZiOGYwYzY1NzgifQ=="/>
  </w:docVars>
  <w:rsids>
    <w:rsidRoot w:val="20B86F62"/>
    <w:rsid w:val="00FE51BA"/>
    <w:rsid w:val="01724615"/>
    <w:rsid w:val="01AC44D5"/>
    <w:rsid w:val="01DA1F83"/>
    <w:rsid w:val="02380589"/>
    <w:rsid w:val="02653FAC"/>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A5766D2"/>
    <w:rsid w:val="0B5B6EA7"/>
    <w:rsid w:val="0B9B184D"/>
    <w:rsid w:val="0BBF2600"/>
    <w:rsid w:val="0C3E61B9"/>
    <w:rsid w:val="0DA12370"/>
    <w:rsid w:val="0DBF0EC4"/>
    <w:rsid w:val="0DE40DBE"/>
    <w:rsid w:val="0E672DB3"/>
    <w:rsid w:val="0E904937"/>
    <w:rsid w:val="0E9E1831"/>
    <w:rsid w:val="0EAB0093"/>
    <w:rsid w:val="0F225786"/>
    <w:rsid w:val="0FCE2C6B"/>
    <w:rsid w:val="107F49DA"/>
    <w:rsid w:val="11103FB2"/>
    <w:rsid w:val="11106DD4"/>
    <w:rsid w:val="113065C7"/>
    <w:rsid w:val="11551C0D"/>
    <w:rsid w:val="11630C29"/>
    <w:rsid w:val="12374305"/>
    <w:rsid w:val="12AB3D92"/>
    <w:rsid w:val="132D67B3"/>
    <w:rsid w:val="13320F8E"/>
    <w:rsid w:val="13E72023"/>
    <w:rsid w:val="159705C2"/>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DE81A96"/>
    <w:rsid w:val="1E4521C9"/>
    <w:rsid w:val="1E56168E"/>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33299E"/>
    <w:rsid w:val="23B92E0F"/>
    <w:rsid w:val="24640781"/>
    <w:rsid w:val="24972E1D"/>
    <w:rsid w:val="2575459C"/>
    <w:rsid w:val="258F1C50"/>
    <w:rsid w:val="260C2C13"/>
    <w:rsid w:val="26DE5391"/>
    <w:rsid w:val="26F92D9C"/>
    <w:rsid w:val="27727EF2"/>
    <w:rsid w:val="27E167C8"/>
    <w:rsid w:val="27E8188C"/>
    <w:rsid w:val="27FC6D6D"/>
    <w:rsid w:val="280F7F64"/>
    <w:rsid w:val="286E79EF"/>
    <w:rsid w:val="295D2E54"/>
    <w:rsid w:val="29E733A5"/>
    <w:rsid w:val="29EC6ACA"/>
    <w:rsid w:val="2A4A2B2D"/>
    <w:rsid w:val="2A6F6F5A"/>
    <w:rsid w:val="2A752D03"/>
    <w:rsid w:val="2A954942"/>
    <w:rsid w:val="2AD02384"/>
    <w:rsid w:val="2B4A4982"/>
    <w:rsid w:val="2B6C2AA5"/>
    <w:rsid w:val="2B8711D4"/>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7F0F"/>
    <w:rsid w:val="31AE2E30"/>
    <w:rsid w:val="32145B6C"/>
    <w:rsid w:val="32482F63"/>
    <w:rsid w:val="32887A79"/>
    <w:rsid w:val="3367096B"/>
    <w:rsid w:val="34015BA1"/>
    <w:rsid w:val="34104944"/>
    <w:rsid w:val="34607C42"/>
    <w:rsid w:val="34AD3121"/>
    <w:rsid w:val="35850C85"/>
    <w:rsid w:val="358537EA"/>
    <w:rsid w:val="36206E51"/>
    <w:rsid w:val="3645059F"/>
    <w:rsid w:val="36FA0C0E"/>
    <w:rsid w:val="37564C34"/>
    <w:rsid w:val="37AF0C3F"/>
    <w:rsid w:val="380D217B"/>
    <w:rsid w:val="381338B3"/>
    <w:rsid w:val="387820A1"/>
    <w:rsid w:val="391D2725"/>
    <w:rsid w:val="39241426"/>
    <w:rsid w:val="3A0A5821"/>
    <w:rsid w:val="3AE30FAC"/>
    <w:rsid w:val="3B3A67B9"/>
    <w:rsid w:val="3B572D45"/>
    <w:rsid w:val="3BB47094"/>
    <w:rsid w:val="3BD82555"/>
    <w:rsid w:val="3C396CD8"/>
    <w:rsid w:val="3D912EF9"/>
    <w:rsid w:val="3DA25E25"/>
    <w:rsid w:val="3E103198"/>
    <w:rsid w:val="3E5C675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6C5AD4"/>
    <w:rsid w:val="487E3CCE"/>
    <w:rsid w:val="491D7010"/>
    <w:rsid w:val="49F61C6A"/>
    <w:rsid w:val="4A2F0F8F"/>
    <w:rsid w:val="4B21070C"/>
    <w:rsid w:val="4BE20A64"/>
    <w:rsid w:val="4C0A4C0B"/>
    <w:rsid w:val="4C6D260E"/>
    <w:rsid w:val="4CA65850"/>
    <w:rsid w:val="4D4867BB"/>
    <w:rsid w:val="4D7854C0"/>
    <w:rsid w:val="4E1C022A"/>
    <w:rsid w:val="4E1E1D89"/>
    <w:rsid w:val="4FA771C2"/>
    <w:rsid w:val="4FDC7DDA"/>
    <w:rsid w:val="5003209D"/>
    <w:rsid w:val="508E2B4E"/>
    <w:rsid w:val="524A480D"/>
    <w:rsid w:val="5263348D"/>
    <w:rsid w:val="527E7420"/>
    <w:rsid w:val="5292301A"/>
    <w:rsid w:val="52C10CD7"/>
    <w:rsid w:val="52F64CB8"/>
    <w:rsid w:val="52FB39A7"/>
    <w:rsid w:val="531641E9"/>
    <w:rsid w:val="5446604D"/>
    <w:rsid w:val="547E1AE0"/>
    <w:rsid w:val="54F554AC"/>
    <w:rsid w:val="551A0D5D"/>
    <w:rsid w:val="55EE4C06"/>
    <w:rsid w:val="561A148B"/>
    <w:rsid w:val="565B213D"/>
    <w:rsid w:val="56D444B4"/>
    <w:rsid w:val="572D0183"/>
    <w:rsid w:val="57567F4A"/>
    <w:rsid w:val="57667B7B"/>
    <w:rsid w:val="578D66D2"/>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74DB0"/>
    <w:rsid w:val="5DA41796"/>
    <w:rsid w:val="5DC167D7"/>
    <w:rsid w:val="5F0E08C6"/>
    <w:rsid w:val="5F5075CA"/>
    <w:rsid w:val="5F7007A2"/>
    <w:rsid w:val="5F85487D"/>
    <w:rsid w:val="5FB650D9"/>
    <w:rsid w:val="6096215E"/>
    <w:rsid w:val="62B86D17"/>
    <w:rsid w:val="62C824CA"/>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F16575"/>
    <w:rsid w:val="69FE6269"/>
    <w:rsid w:val="6B110ED0"/>
    <w:rsid w:val="6B3D74AC"/>
    <w:rsid w:val="6BF5199F"/>
    <w:rsid w:val="6C81461E"/>
    <w:rsid w:val="6CE610BF"/>
    <w:rsid w:val="6CED312F"/>
    <w:rsid w:val="6D1916FD"/>
    <w:rsid w:val="6D226C43"/>
    <w:rsid w:val="6D535020"/>
    <w:rsid w:val="6DCF5925"/>
    <w:rsid w:val="6E383ABA"/>
    <w:rsid w:val="6E573888"/>
    <w:rsid w:val="6E8B493F"/>
    <w:rsid w:val="6EA3545A"/>
    <w:rsid w:val="6F9F7F7D"/>
    <w:rsid w:val="719A4F83"/>
    <w:rsid w:val="71DE50A5"/>
    <w:rsid w:val="722B548E"/>
    <w:rsid w:val="722E4AEA"/>
    <w:rsid w:val="73683978"/>
    <w:rsid w:val="73F43F5E"/>
    <w:rsid w:val="7438150C"/>
    <w:rsid w:val="746F037C"/>
    <w:rsid w:val="74F82EAA"/>
    <w:rsid w:val="75457DB7"/>
    <w:rsid w:val="7563067A"/>
    <w:rsid w:val="75E55D62"/>
    <w:rsid w:val="76466533"/>
    <w:rsid w:val="77F97E1C"/>
    <w:rsid w:val="785111E8"/>
    <w:rsid w:val="787B4617"/>
    <w:rsid w:val="78E831F4"/>
    <w:rsid w:val="79AC141B"/>
    <w:rsid w:val="79B51E35"/>
    <w:rsid w:val="79EA27D4"/>
    <w:rsid w:val="7AE23540"/>
    <w:rsid w:val="7C29457B"/>
    <w:rsid w:val="7CE9423F"/>
    <w:rsid w:val="7D9A1A1C"/>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2"/>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5236</Words>
  <Characters>5390</Characters>
  <Lines>0</Lines>
  <Paragraphs>0</Paragraphs>
  <TotalTime>12</TotalTime>
  <ScaleCrop>false</ScaleCrop>
  <LinksUpToDate>false</LinksUpToDate>
  <CharactersWithSpaces>5586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天哥</cp:lastModifiedBy>
  <cp:lastPrinted>2019-09-23T08:20:00Z</cp:lastPrinted>
  <dcterms:modified xsi:type="dcterms:W3CDTF">2023-11-24T04:18:48Z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4D9DA8D5B21C43D9BAE1A89612F45FA1_13</vt:lpwstr>
  </property>
</Properties>
</file>