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pPr>
        <w:pStyle w:val="7"/>
        <w:rPr>
          <w:rFonts w:hint="eastAsia" w:ascii="黑体" w:hAnsi="黑体" w:eastAsia="黑体" w:cs="黑体"/>
          <w:lang w:eastAsia="zh-CN"/>
        </w:rPr>
      </w:pPr>
    </w:p>
    <w:p>
      <w:pPr>
        <w:jc w:val="center"/>
        <w:rPr>
          <w:rFonts w:hint="eastAsia" w:ascii="黑体" w:hAnsi="黑体" w:eastAsia="黑体" w:cs="黑体"/>
          <w:sz w:val="32"/>
          <w:szCs w:val="32"/>
          <w:lang w:eastAsia="zh-CN"/>
        </w:rPr>
      </w:pPr>
      <w:r>
        <w:rPr>
          <w:rFonts w:hint="eastAsia" w:ascii="黑体" w:hAnsi="黑体" w:eastAsia="黑体" w:cs="黑体"/>
          <w:color w:val="FF0000"/>
          <w:sz w:val="52"/>
          <w:szCs w:val="52"/>
          <w:lang w:val="en-US" w:eastAsia="zh-CN"/>
        </w:rPr>
        <w:t>采购</w:t>
      </w:r>
      <w:r>
        <w:rPr>
          <w:rFonts w:hint="eastAsia" w:ascii="黑体" w:hAnsi="黑体" w:eastAsia="黑体" w:cs="黑体"/>
          <w:sz w:val="52"/>
          <w:szCs w:val="52"/>
          <w:lang w:eastAsia="zh-CN"/>
        </w:rPr>
        <w:t>文件</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40"/>
          <w:szCs w:val="40"/>
          <w:lang w:eastAsia="zh-CN"/>
        </w:rPr>
      </w:pPr>
    </w:p>
    <w:p>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项目名称：</w:t>
      </w:r>
      <w:r>
        <w:rPr>
          <w:rFonts w:hint="eastAsia" w:ascii="黑体" w:hAnsi="黑体" w:eastAsia="黑体" w:cs="黑体"/>
          <w:sz w:val="40"/>
          <w:szCs w:val="40"/>
          <w:lang w:val="en-US" w:eastAsia="zh-CN"/>
        </w:rPr>
        <w:t>医疗责任保险</w:t>
      </w:r>
    </w:p>
    <w:p>
      <w:pPr>
        <w:pStyle w:val="7"/>
        <w:rPr>
          <w:rFonts w:hint="eastAsia" w:ascii="黑体" w:hAnsi="黑体" w:eastAsia="黑体" w:cs="黑体"/>
          <w:lang w:val="en-US" w:eastAsia="zh-CN"/>
        </w:rPr>
      </w:pPr>
    </w:p>
    <w:p>
      <w:pPr>
        <w:jc w:val="center"/>
        <w:rPr>
          <w:rFonts w:hint="eastAsia" w:ascii="黑体" w:hAnsi="黑体" w:eastAsia="黑体" w:cs="黑体"/>
          <w:sz w:val="40"/>
          <w:szCs w:val="40"/>
          <w:lang w:val="en-US"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YNCG016</w:t>
      </w: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bookmarkStart w:id="16" w:name="_GoBack"/>
      <w:bookmarkEnd w:id="16"/>
    </w:p>
    <w:p>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2023年11月</w:t>
      </w:r>
      <w:r>
        <w:rPr>
          <w:rFonts w:hint="eastAsia" w:ascii="黑体" w:hAnsi="黑体" w:eastAsia="黑体" w:cs="黑体"/>
          <w:sz w:val="40"/>
          <w:szCs w:val="40"/>
          <w:lang w:eastAsia="zh-CN"/>
        </w:rPr>
        <w:br w:type="page"/>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院内采购公告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项目采购编号：</w:t>
      </w:r>
      <w:r>
        <w:rPr>
          <w:rFonts w:hint="eastAsia" w:ascii="仿宋" w:hAnsi="仿宋" w:eastAsia="仿宋" w:cs="仿宋"/>
          <w:color w:val="555555"/>
          <w:kern w:val="0"/>
          <w:sz w:val="32"/>
          <w:szCs w:val="32"/>
          <w:lang w:val="en-US" w:eastAsia="zh-CN"/>
        </w:rPr>
        <w:t>YNCG016 ，项目包数量：1个</w:t>
      </w:r>
    </w:p>
    <w:p>
      <w:pPr>
        <w:pStyle w:val="16"/>
        <w:spacing w:line="240" w:lineRule="auto"/>
        <w:rPr>
          <w:rFonts w:hint="eastAsia" w:ascii="仿宋" w:hAnsi="仿宋" w:eastAsia="仿宋_GB2312" w:cs="仿宋"/>
          <w:sz w:val="32"/>
          <w:szCs w:val="32"/>
          <w:lang w:val="en-US" w:eastAsia="zh-CN"/>
        </w:rPr>
      </w:pPr>
      <w:r>
        <w:rPr>
          <w:rFonts w:hint="eastAsia" w:ascii="仿宋" w:hAnsi="仿宋" w:eastAsia="仿宋" w:cs="仿宋"/>
          <w:color w:val="555555"/>
          <w:kern w:val="0"/>
          <w:sz w:val="32"/>
          <w:szCs w:val="32"/>
          <w:lang w:val="en-US" w:eastAsia="zh-CN"/>
        </w:rPr>
        <w:t xml:space="preserve">  二、项目背景：</w:t>
      </w:r>
      <w:r>
        <w:rPr>
          <w:rFonts w:ascii="仿宋_GB2312" w:hAnsi="宋体" w:eastAsia="仿宋_GB2312" w:cs="仿宋_GB2312"/>
          <w:i w:val="0"/>
          <w:iCs w:val="0"/>
          <w:caps w:val="0"/>
          <w:color w:val="676767"/>
          <w:spacing w:val="0"/>
          <w:sz w:val="31"/>
          <w:szCs w:val="31"/>
          <w:shd w:val="clear" w:fill="FFFFFF"/>
        </w:rPr>
        <w:t>本项目主要为乐山市中</w:t>
      </w:r>
      <w:r>
        <w:rPr>
          <w:rFonts w:hint="eastAsia" w:ascii="仿宋_GB2312" w:hAnsi="宋体" w:eastAsia="仿宋_GB2312" w:cs="仿宋_GB2312"/>
          <w:i w:val="0"/>
          <w:iCs w:val="0"/>
          <w:caps w:val="0"/>
          <w:color w:val="676767"/>
          <w:spacing w:val="0"/>
          <w:sz w:val="31"/>
          <w:szCs w:val="31"/>
          <w:shd w:val="clear" w:fill="FFFFFF"/>
          <w:lang w:val="en-US" w:eastAsia="zh-CN"/>
        </w:rPr>
        <w:t>五通桥区人民医院</w:t>
      </w:r>
      <w:r>
        <w:rPr>
          <w:rFonts w:ascii="仿宋_GB2312" w:hAnsi="宋体" w:eastAsia="仿宋_GB2312" w:cs="仿宋_GB2312"/>
          <w:i w:val="0"/>
          <w:iCs w:val="0"/>
          <w:caps w:val="0"/>
          <w:color w:val="676767"/>
          <w:spacing w:val="0"/>
          <w:sz w:val="31"/>
          <w:szCs w:val="31"/>
          <w:shd w:val="clear" w:fill="FFFFFF"/>
        </w:rPr>
        <w:t>医务人员采购</w:t>
      </w:r>
      <w:r>
        <w:rPr>
          <w:rFonts w:hint="default" w:ascii="仿宋_GB2312" w:hAnsi="宋体" w:eastAsia="仿宋_GB2312" w:cs="仿宋_GB2312"/>
          <w:i w:val="0"/>
          <w:iCs w:val="0"/>
          <w:caps w:val="0"/>
          <w:color w:val="676767"/>
          <w:spacing w:val="0"/>
          <w:sz w:val="31"/>
          <w:szCs w:val="31"/>
          <w:shd w:val="clear" w:fill="FFFFFF"/>
        </w:rPr>
        <w:t>202</w:t>
      </w:r>
      <w:r>
        <w:rPr>
          <w:rFonts w:hint="eastAsia" w:ascii="仿宋_GB2312" w:hAnsi="宋体" w:eastAsia="仿宋_GB2312" w:cs="仿宋_GB2312"/>
          <w:i w:val="0"/>
          <w:iCs w:val="0"/>
          <w:caps w:val="0"/>
          <w:color w:val="676767"/>
          <w:spacing w:val="0"/>
          <w:sz w:val="31"/>
          <w:szCs w:val="31"/>
          <w:shd w:val="clear" w:fill="FFFFFF"/>
          <w:lang w:val="en-US" w:eastAsia="zh-CN"/>
        </w:rPr>
        <w:t>4</w:t>
      </w:r>
      <w:r>
        <w:rPr>
          <w:rFonts w:hint="default" w:ascii="仿宋_GB2312" w:hAnsi="宋体" w:eastAsia="仿宋_GB2312" w:cs="仿宋_GB2312"/>
          <w:i w:val="0"/>
          <w:iCs w:val="0"/>
          <w:caps w:val="0"/>
          <w:color w:val="676767"/>
          <w:spacing w:val="0"/>
          <w:sz w:val="31"/>
          <w:szCs w:val="31"/>
          <w:shd w:val="clear" w:fill="FFFFFF"/>
        </w:rPr>
        <w:t>年医疗责任险，承保</w:t>
      </w:r>
      <w:r>
        <w:rPr>
          <w:rFonts w:ascii="仿宋_GB2312" w:hAnsi="宋体" w:eastAsia="仿宋_GB2312" w:cs="仿宋_GB2312"/>
          <w:i w:val="0"/>
          <w:iCs w:val="0"/>
          <w:caps w:val="0"/>
          <w:color w:val="676767"/>
          <w:spacing w:val="0"/>
          <w:sz w:val="31"/>
          <w:szCs w:val="31"/>
          <w:shd w:val="clear" w:fill="FFFFFF"/>
        </w:rPr>
        <w:t>乐山市中</w:t>
      </w:r>
      <w:r>
        <w:rPr>
          <w:rFonts w:hint="eastAsia" w:ascii="仿宋_GB2312" w:hAnsi="宋体" w:eastAsia="仿宋_GB2312" w:cs="仿宋_GB2312"/>
          <w:i w:val="0"/>
          <w:iCs w:val="0"/>
          <w:caps w:val="0"/>
          <w:color w:val="676767"/>
          <w:spacing w:val="0"/>
          <w:sz w:val="31"/>
          <w:szCs w:val="31"/>
          <w:shd w:val="clear" w:fill="FFFFFF"/>
          <w:lang w:val="en-US" w:eastAsia="zh-CN"/>
        </w:rPr>
        <w:t>五通桥区人民医院</w:t>
      </w:r>
      <w:r>
        <w:rPr>
          <w:rFonts w:hint="default" w:ascii="仿宋_GB2312" w:hAnsi="宋体" w:eastAsia="仿宋_GB2312" w:cs="仿宋_GB2312"/>
          <w:i w:val="0"/>
          <w:iCs w:val="0"/>
          <w:caps w:val="0"/>
          <w:color w:val="676767"/>
          <w:spacing w:val="0"/>
          <w:sz w:val="31"/>
          <w:szCs w:val="31"/>
          <w:shd w:val="clear" w:fill="FFFFFF"/>
        </w:rPr>
        <w:t>在相应执业过程中因过失发生医疗事故、医疗过错造成的损害赔偿或因与医疗行为有关的纠纷引起的非损害赔偿承担保险责任</w:t>
      </w:r>
      <w:r>
        <w:rPr>
          <w:rFonts w:hint="eastAsia" w:ascii="仿宋_GB2312" w:hAnsi="宋体" w:eastAsia="仿宋_GB2312" w:cs="仿宋_GB2312"/>
          <w:i w:val="0"/>
          <w:iCs w:val="0"/>
          <w:caps w:val="0"/>
          <w:color w:val="676767"/>
          <w:spacing w:val="0"/>
          <w:sz w:val="31"/>
          <w:szCs w:val="31"/>
          <w:shd w:val="clear" w:fill="FFFFFF"/>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三、采购项目内容（详细要求请看附件）：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宋体" w:eastAsia="仿宋_GB2312" w:cs="仿宋_GB2312"/>
          <w:i w:val="0"/>
          <w:iCs w:val="0"/>
          <w:caps w:val="0"/>
          <w:color w:val="676767"/>
          <w:spacing w:val="0"/>
          <w:sz w:val="31"/>
          <w:szCs w:val="31"/>
          <w:shd w:val="clear" w:fill="FFFFFF"/>
          <w:lang w:eastAsia="zh-CN"/>
        </w:rPr>
      </w:pPr>
      <w:r>
        <w:rPr>
          <w:rFonts w:hint="eastAsia" w:ascii="仿宋" w:hAnsi="仿宋" w:eastAsia="仿宋" w:cs="仿宋"/>
          <w:color w:val="555555"/>
          <w:kern w:val="0"/>
          <w:sz w:val="32"/>
          <w:szCs w:val="32"/>
          <w:lang w:val="en-US" w:eastAsia="zh-CN"/>
        </w:rPr>
        <w:t>医疗责任保险</w:t>
      </w:r>
      <w:r>
        <w:rPr>
          <w:rFonts w:hint="default" w:ascii="仿宋_GB2312" w:hAnsi="宋体" w:eastAsia="仿宋_GB2312" w:cs="仿宋_GB2312"/>
          <w:i w:val="0"/>
          <w:iCs w:val="0"/>
          <w:caps w:val="0"/>
          <w:color w:val="676767"/>
          <w:spacing w:val="0"/>
          <w:sz w:val="31"/>
          <w:szCs w:val="31"/>
          <w:shd w:val="clear" w:fill="FFFFFF"/>
        </w:rPr>
        <w:t>，采购限价</w:t>
      </w:r>
      <w:r>
        <w:rPr>
          <w:rFonts w:hint="eastAsia" w:ascii="仿宋_GB2312" w:hAnsi="宋体" w:eastAsia="仿宋_GB2312" w:cs="仿宋_GB2312"/>
          <w:i w:val="0"/>
          <w:iCs w:val="0"/>
          <w:caps w:val="0"/>
          <w:color w:val="676767"/>
          <w:spacing w:val="0"/>
          <w:sz w:val="31"/>
          <w:szCs w:val="31"/>
          <w:shd w:val="clear" w:fill="FFFFFF"/>
          <w:lang w:val="en-US" w:eastAsia="zh-CN"/>
        </w:rPr>
        <w:t>11.6</w:t>
      </w:r>
      <w:r>
        <w:rPr>
          <w:rFonts w:hint="default" w:ascii="仿宋_GB2312" w:hAnsi="宋体" w:eastAsia="仿宋_GB2312" w:cs="仿宋_GB2312"/>
          <w:i w:val="0"/>
          <w:iCs w:val="0"/>
          <w:caps w:val="0"/>
          <w:color w:val="676767"/>
          <w:spacing w:val="0"/>
          <w:sz w:val="31"/>
          <w:szCs w:val="31"/>
          <w:shd w:val="clear" w:fill="FFFFFF"/>
        </w:rPr>
        <w:t>万元</w:t>
      </w:r>
      <w:r>
        <w:rPr>
          <w:rFonts w:hint="eastAsia" w:ascii="仿宋_GB2312" w:hAnsi="宋体" w:eastAsia="仿宋_GB2312" w:cs="仿宋_GB2312"/>
          <w:i w:val="0"/>
          <w:iCs w:val="0"/>
          <w:caps w:val="0"/>
          <w:color w:val="676767"/>
          <w:spacing w:val="0"/>
          <w:sz w:val="31"/>
          <w:szCs w:val="31"/>
          <w:shd w:val="clear" w:fill="FFFFFF"/>
          <w:lang w:eastAsia="zh-CN"/>
        </w:rPr>
        <w:t>（</w:t>
      </w:r>
      <w:r>
        <w:rPr>
          <w:rFonts w:hint="eastAsia" w:ascii="仿宋_GB2312" w:hAnsi="宋体" w:eastAsia="仿宋_GB2312" w:cs="仿宋_GB2312"/>
          <w:i w:val="0"/>
          <w:iCs w:val="0"/>
          <w:caps w:val="0"/>
          <w:color w:val="676767"/>
          <w:spacing w:val="0"/>
          <w:sz w:val="31"/>
          <w:szCs w:val="31"/>
          <w:shd w:val="clear" w:fill="FFFFFF"/>
          <w:lang w:val="en-US" w:eastAsia="zh-CN"/>
        </w:rPr>
        <w:t>采购服务三年，合同每年一签，第二年没有变化合同可续签</w:t>
      </w:r>
      <w:r>
        <w:rPr>
          <w:rFonts w:hint="eastAsia" w:ascii="仿宋_GB2312" w:hAnsi="宋体" w:eastAsia="仿宋_GB2312" w:cs="仿宋_GB2312"/>
          <w:i w:val="0"/>
          <w:iCs w:val="0"/>
          <w:caps w:val="0"/>
          <w:color w:val="676767"/>
          <w:spacing w:val="0"/>
          <w:sz w:val="31"/>
          <w:szCs w:val="31"/>
          <w:shd w:val="clear" w:fill="FFFFFF"/>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参加采购的供应商数量：三家及以上；在乐山市五通桥区人民医院官方网站上发布公告（https://www.wtqqrmyy.com/）；本项目若有补遗或更正公告会在官网上发布，请参加采购的供应商随时关注；若因以上原因造成的损失由供应商自行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eastAsia="zh-CN"/>
        </w:rPr>
        <w:t>五、供应商参加本次采购活动提交资料中，具备以下要求：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sz w:val="32"/>
          <w:szCs w:val="32"/>
          <w:lang w:val="en-US"/>
        </w:rPr>
      </w:pPr>
      <w:r>
        <w:rPr>
          <w:rFonts w:hint="eastAsia" w:ascii="仿宋" w:hAnsi="仿宋" w:eastAsia="仿宋" w:cs="仿宋"/>
          <w:color w:val="555555"/>
          <w:kern w:val="0"/>
          <w:sz w:val="32"/>
          <w:szCs w:val="32"/>
          <w:lang w:val="en-US" w:eastAsia="zh-CN"/>
        </w:rPr>
        <w:t xml:space="preserve">1.具有独立承担民事责任的能力；依法缴纳税收和社会保障资金的良好记录。 </w:t>
      </w:r>
    </w:p>
    <w:p>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2.具有良好的商业制度和健全的财务制度；履行合同所必须的设备和专业技术能力。</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3.参加本次采购活动前三年内，在经营活动中没有重大违法记录。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4.</w:t>
      </w:r>
      <w:r>
        <w:rPr>
          <w:rFonts w:hint="eastAsia" w:ascii="仿宋" w:hAnsi="仿宋" w:eastAsia="仿宋" w:cs="仿宋"/>
          <w:color w:val="555555"/>
          <w:kern w:val="0"/>
          <w:sz w:val="32"/>
          <w:szCs w:val="32"/>
        </w:rPr>
        <w:t>公司的营业执照（</w:t>
      </w:r>
      <w:r>
        <w:rPr>
          <w:rFonts w:hint="eastAsia" w:ascii="仿宋" w:hAnsi="仿宋" w:eastAsia="仿宋" w:cs="仿宋"/>
          <w:color w:val="555555"/>
          <w:kern w:val="0"/>
          <w:sz w:val="32"/>
          <w:szCs w:val="32"/>
          <w:lang w:eastAsia="zh-CN"/>
        </w:rPr>
        <w:t>三证合一</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复印件</w:t>
      </w:r>
      <w:r>
        <w:rPr>
          <w:rFonts w:hint="eastAsia" w:ascii="仿宋" w:hAnsi="仿宋" w:eastAsia="仿宋" w:cs="仿宋"/>
          <w:color w:val="555555"/>
          <w:kern w:val="0"/>
          <w:sz w:val="32"/>
          <w:szCs w:val="32"/>
        </w:rPr>
        <w:t>加盖鲜章</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法定代表人授权委托书（法定代表人参与的须提供法定代表人证明书）</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法定代表人和授权代表的身份证</w:t>
      </w:r>
      <w:r>
        <w:rPr>
          <w:rFonts w:hint="eastAsia" w:ascii="仿宋" w:hAnsi="仿宋" w:eastAsia="仿宋" w:cs="仿宋"/>
          <w:color w:val="555555"/>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5.报价以及资料，采购响应文件封面请注明项目名称、联系人、联系电话、自行密封并加盖公章。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以上资料至少2套，请满足上述资质要求的供应商于</w:t>
      </w:r>
      <w:r>
        <w:rPr>
          <w:rFonts w:hint="eastAsia" w:ascii="仿宋" w:hAnsi="仿宋" w:eastAsia="仿宋" w:cs="仿宋"/>
          <w:color w:val="FF0000"/>
          <w:kern w:val="0"/>
          <w:sz w:val="32"/>
          <w:szCs w:val="32"/>
          <w:lang w:val="en-US" w:eastAsia="zh-CN"/>
        </w:rPr>
        <w:t>2023年12月6日17:00</w:t>
      </w:r>
      <w:r>
        <w:rPr>
          <w:rFonts w:hint="eastAsia" w:ascii="仿宋" w:hAnsi="仿宋" w:eastAsia="仿宋" w:cs="仿宋"/>
          <w:color w:val="555555"/>
          <w:kern w:val="0"/>
          <w:sz w:val="32"/>
          <w:szCs w:val="32"/>
          <w:lang w:val="en-US" w:eastAsia="zh-CN"/>
        </w:rPr>
        <w:t>之前将资料送至乐山市五通桥区人民医院采购办（行政楼三楼楼梯处），在截至时间以后送到的响应文件将被拒绝并退还给供应商。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六、其他要求（参加采购的供应商视为全部接受以下条款）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1.方案报价在60日内有效，报价包括文件编制、差旅、人工等费用。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2.在供应商满足相关资质要求及服务要求的条件下，采购采用</w:t>
      </w:r>
      <w:r>
        <w:rPr>
          <w:rFonts w:hint="eastAsia" w:ascii="仿宋" w:hAnsi="仿宋" w:eastAsia="仿宋" w:cs="仿宋"/>
          <w:color w:val="FF0000"/>
          <w:kern w:val="0"/>
          <w:sz w:val="32"/>
          <w:szCs w:val="32"/>
          <w:lang w:val="en-US" w:eastAsia="zh-CN"/>
        </w:rPr>
        <w:t>综合评分法</w:t>
      </w:r>
      <w:r>
        <w:rPr>
          <w:rFonts w:hint="eastAsia" w:ascii="仿宋" w:hAnsi="仿宋" w:eastAsia="仿宋" w:cs="仿宋"/>
          <w:color w:val="555555"/>
          <w:kern w:val="0"/>
          <w:sz w:val="32"/>
          <w:szCs w:val="32"/>
          <w:lang w:val="en-US" w:eastAsia="zh-CN"/>
        </w:rPr>
        <w:t>，中标结果由医院网站公示，中标公司请在公示后30日内到采购办签订合同，超过公示后30日不响应签订合同的视为放弃中标资格。</w:t>
      </w:r>
    </w:p>
    <w:p>
      <w:pPr>
        <w:pStyle w:val="16"/>
        <w:spacing w:line="240" w:lineRule="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3.本项目不接受联合体，不允许分包。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rPr>
        <w:t>联系人:</w:t>
      </w:r>
      <w:r>
        <w:rPr>
          <w:rFonts w:hint="eastAsia" w:ascii="仿宋" w:hAnsi="仿宋" w:eastAsia="仿宋" w:cs="仿宋"/>
          <w:color w:val="FF0000"/>
          <w:kern w:val="0"/>
          <w:sz w:val="32"/>
          <w:szCs w:val="32"/>
          <w:lang w:eastAsia="zh-CN"/>
        </w:rPr>
        <w:t>徐老师</w:t>
      </w:r>
      <w:r>
        <w:rPr>
          <w:rFonts w:hint="eastAsia" w:ascii="仿宋" w:hAnsi="仿宋" w:eastAsia="仿宋" w:cs="仿宋"/>
          <w:color w:val="FF0000"/>
          <w:kern w:val="0"/>
          <w:sz w:val="32"/>
          <w:szCs w:val="32"/>
        </w:rPr>
        <w:t xml:space="preserve"> </w:t>
      </w:r>
      <w:r>
        <w:rPr>
          <w:rFonts w:hint="eastAsia" w:ascii="仿宋" w:hAnsi="仿宋" w:eastAsia="仿宋" w:cs="仿宋"/>
          <w:color w:val="555555"/>
          <w:kern w:val="0"/>
          <w:sz w:val="32"/>
          <w:szCs w:val="32"/>
          <w:lang w:val="en-US" w:eastAsia="zh-CN"/>
        </w:rPr>
        <w:t xml:space="preserve">      </w:t>
      </w:r>
      <w:r>
        <w:rPr>
          <w:rFonts w:hint="eastAsia" w:ascii="仿宋" w:hAnsi="仿宋" w:eastAsia="仿宋" w:cs="仿宋"/>
          <w:color w:val="555555"/>
          <w:kern w:val="0"/>
          <w:sz w:val="32"/>
          <w:szCs w:val="32"/>
        </w:rPr>
        <w:t>联系电话:</w:t>
      </w:r>
      <w:r>
        <w:rPr>
          <w:rFonts w:hint="eastAsia" w:ascii="仿宋" w:hAnsi="仿宋" w:eastAsia="仿宋" w:cs="仿宋"/>
          <w:color w:val="555555"/>
          <w:kern w:val="0"/>
          <w:sz w:val="32"/>
          <w:szCs w:val="32"/>
          <w:lang w:val="en-US" w:eastAsia="zh-CN"/>
        </w:rPr>
        <w:t>0833-3211269</w:t>
      </w:r>
    </w:p>
    <w:p>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pPr>
        <w:spacing w:line="300" w:lineRule="exact"/>
        <w:jc w:val="center"/>
        <w:rPr>
          <w:rFonts w:hint="eastAsia" w:ascii="仿宋" w:hAnsi="仿宋" w:eastAsia="仿宋" w:cs="仿宋"/>
          <w:b/>
          <w:sz w:val="32"/>
          <w:szCs w:val="32"/>
          <w:lang w:eastAsia="zh-CN"/>
        </w:rPr>
      </w:pPr>
    </w:p>
    <w:p>
      <w:pPr>
        <w:pStyle w:val="5"/>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pPr>
        <w:pStyle w:val="30"/>
        <w:spacing w:line="240" w:lineRule="auto"/>
        <w:rPr>
          <w:rFonts w:hint="eastAsia"/>
          <w:lang w:eastAsia="zh-CN"/>
        </w:rPr>
      </w:pPr>
    </w:p>
    <w:p>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项目参照《中华人民共和国政府采购法》《四川省政府采购非招标采购方式实施办法》等有关法律、法规和规章，通过</w:t>
      </w:r>
      <w:r>
        <w:rPr>
          <w:rFonts w:hint="eastAsia" w:ascii="仿宋" w:hAnsi="仿宋" w:eastAsia="仿宋" w:cs="仿宋"/>
          <w:color w:val="FF0000"/>
          <w:sz w:val="32"/>
          <w:szCs w:val="32"/>
          <w:lang w:val="en-US" w:eastAsia="zh-CN"/>
        </w:rPr>
        <w:t>综合评分</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        ”，“项目编号：     ”，“询价响应文件”，“于   年  月  日  时  分前不得拆封”等字样。未按询价文件要求密封的响应文件将被拒收。</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FF0000"/>
          <w:sz w:val="32"/>
          <w:szCs w:val="32"/>
          <w:lang w:val="en-US" w:eastAsia="zh-CN"/>
        </w:rPr>
        <w:t>综合平法最高</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FF0000"/>
          <w:sz w:val="32"/>
          <w:szCs w:val="32"/>
          <w:lang w:val="en-US" w:eastAsia="zh-CN"/>
        </w:rPr>
        <w:t>综合平法最高</w:t>
      </w:r>
      <w:r>
        <w:rPr>
          <w:rFonts w:hint="eastAsia" w:ascii="仿宋" w:hAnsi="仿宋" w:eastAsia="仿宋" w:cs="仿宋"/>
          <w:color w:val="000000"/>
          <w:sz w:val="32"/>
          <w:szCs w:val="32"/>
        </w:rPr>
        <w:t>原则确定成交供应商。</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采用最低评标价法的采购项目，提供相同品牌产品的不同投标人参加同一合同项下投标的，以其中通过资格审查、符合性审查且报价最低的参加评标；报价相同的，由采购人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pPr>
        <w:pStyle w:val="7"/>
        <w:ind w:left="0" w:leftChars="0" w:firstLine="0" w:firstLineChars="0"/>
        <w:rPr>
          <w:rFonts w:hint="eastAsia" w:ascii="黑体" w:hAnsi="黑体" w:eastAsia="黑体" w:cs="黑体"/>
          <w:lang w:eastAsia="zh-CN"/>
        </w:rPr>
      </w:pPr>
    </w:p>
    <w:p>
      <w:pPr>
        <w:rPr>
          <w:rFonts w:hint="eastAsia" w:ascii="黑体" w:hAnsi="黑体" w:eastAsia="黑体" w:cs="黑体"/>
          <w:lang w:val="en-US" w:eastAsia="zh-CN"/>
        </w:rPr>
      </w:pPr>
    </w:p>
    <w:p>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pPr>
        <w:spacing w:line="400" w:lineRule="exact"/>
        <w:ind w:firstLine="4897" w:firstLineChars="583"/>
        <w:rPr>
          <w:rFonts w:hint="eastAsia" w:ascii="黑体" w:hAnsi="黑体" w:eastAsia="黑体" w:cs="黑体"/>
          <w:sz w:val="84"/>
          <w:szCs w:val="84"/>
          <w:lang w:eastAsia="zh-CN"/>
        </w:rPr>
      </w:pPr>
    </w:p>
    <w:p>
      <w:pPr>
        <w:pStyle w:val="5"/>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询价、采购、谈判、遴选文件</w:t>
      </w:r>
    </w:p>
    <w:p>
      <w:pPr>
        <w:rPr>
          <w:rFonts w:hint="eastAsia" w:ascii="黑体" w:hAnsi="黑体" w:eastAsia="黑体" w:cs="黑体"/>
          <w:sz w:val="84"/>
          <w:szCs w:val="84"/>
          <w:lang w:val="en-US" w:eastAsia="zh-CN"/>
        </w:rPr>
      </w:pPr>
    </w:p>
    <w:p>
      <w:pPr>
        <w:pStyle w:val="5"/>
        <w:rPr>
          <w:rFonts w:hint="eastAsia" w:ascii="黑体" w:hAnsi="黑体" w:eastAsia="黑体" w:cs="黑体"/>
          <w:lang w:val="en-US" w:eastAsia="zh-CN"/>
        </w:rPr>
      </w:pPr>
    </w:p>
    <w:p>
      <w:pPr>
        <w:spacing w:line="400" w:lineRule="exact"/>
        <w:ind w:firstLine="4897" w:firstLineChars="583"/>
        <w:rPr>
          <w:rFonts w:hint="eastAsia" w:ascii="黑体" w:hAnsi="黑体" w:eastAsia="黑体" w:cs="黑体"/>
          <w:sz w:val="84"/>
          <w:szCs w:val="84"/>
        </w:rPr>
      </w:pPr>
    </w:p>
    <w:p>
      <w:pPr>
        <w:spacing w:line="400" w:lineRule="exact"/>
        <w:ind w:firstLine="4897" w:firstLineChars="583"/>
        <w:rPr>
          <w:rFonts w:hint="eastAsia" w:ascii="黑体" w:hAnsi="黑体" w:eastAsia="黑体" w:cs="黑体"/>
          <w:sz w:val="84"/>
          <w:szCs w:val="84"/>
        </w:rPr>
      </w:pPr>
    </w:p>
    <w:p>
      <w:pPr>
        <w:spacing w:line="400" w:lineRule="exact"/>
        <w:rPr>
          <w:rFonts w:hint="eastAsia" w:ascii="黑体" w:hAnsi="黑体" w:eastAsia="黑体" w:cs="黑体"/>
          <w:b/>
          <w:bCs/>
          <w:sz w:val="30"/>
          <w:szCs w:val="30"/>
        </w:rPr>
      </w:pPr>
    </w:p>
    <w:p>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pPr>
        <w:widowControl w:val="0"/>
        <w:adjustRightInd/>
        <w:spacing w:line="360" w:lineRule="auto"/>
        <w:rPr>
          <w:rFonts w:hint="eastAsia" w:ascii="黑体" w:hAnsi="黑体" w:eastAsia="黑体" w:cs="黑体"/>
          <w:b/>
          <w:bCs/>
          <w:sz w:val="32"/>
          <w:szCs w:val="32"/>
        </w:rPr>
      </w:pPr>
      <w:r>
        <w:rPr>
          <w:rFonts w:hint="eastAsia" w:ascii="黑体" w:hAnsi="黑体" w:eastAsia="黑体" w:cs="黑体"/>
          <w:b/>
          <w:bCs/>
          <w:sz w:val="32"/>
          <w:szCs w:val="32"/>
        </w:rPr>
        <w:t>法定代表人或授权代表：</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rPr>
        <w:t>（签字或加盖个人名章）</w:t>
      </w:r>
    </w:p>
    <w:p>
      <w:pPr>
        <w:widowControl w:val="0"/>
        <w:adjustRightInd/>
        <w:spacing w:line="360" w:lineRule="auto"/>
        <w:ind w:firstLine="315" w:firstLineChars="98"/>
        <w:rPr>
          <w:rFonts w:hint="eastAsia" w:ascii="黑体" w:hAnsi="黑体" w:eastAsia="黑体" w:cs="黑体"/>
          <w:b/>
          <w:bCs/>
          <w:sz w:val="32"/>
          <w:szCs w:val="32"/>
        </w:rPr>
      </w:pPr>
    </w:p>
    <w:p>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pPr>
        <w:rPr>
          <w:rFonts w:hint="eastAsia" w:ascii="黑体" w:hAnsi="黑体" w:eastAsia="黑体" w:cs="黑体"/>
          <w:b/>
          <w:bCs/>
          <w:sz w:val="32"/>
          <w:szCs w:val="32"/>
        </w:rPr>
      </w:pPr>
      <w:bookmarkStart w:id="0" w:name="_Toc9490"/>
      <w:bookmarkStart w:id="1" w:name="_Toc25737"/>
      <w:bookmarkStart w:id="2" w:name="_Toc5773"/>
      <w:bookmarkStart w:id="3" w:name="_Toc18458"/>
      <w:r>
        <w:rPr>
          <w:rFonts w:hint="eastAsia" w:ascii="黑体" w:hAnsi="黑体" w:eastAsia="黑体" w:cs="黑体"/>
          <w:b/>
          <w:bCs/>
          <w:sz w:val="32"/>
          <w:szCs w:val="32"/>
        </w:rPr>
        <w:br w:type="page"/>
      </w:r>
    </w:p>
    <w:bookmarkEnd w:id="0"/>
    <w:bookmarkEnd w:id="1"/>
    <w:bookmarkEnd w:id="2"/>
    <w:bookmarkEnd w:id="3"/>
    <w:p>
      <w:pPr>
        <w:numPr>
          <w:ilvl w:val="0"/>
          <w:numId w:val="2"/>
        </w:numPr>
        <w:jc w:val="center"/>
        <w:rPr>
          <w:rFonts w:hint="eastAsia" w:ascii="黑体" w:hAnsi="黑体" w:eastAsia="黑体" w:cs="黑体"/>
          <w:b/>
          <w:sz w:val="36"/>
          <w:szCs w:val="36"/>
          <w:lang w:val="en-US" w:eastAsia="zh-CN"/>
        </w:rPr>
      </w:pPr>
      <w:bookmarkStart w:id="4" w:name="_Toc439699516"/>
      <w:bookmarkStart w:id="5" w:name="_Toc12449"/>
      <w:bookmarkStart w:id="6" w:name="_Toc4003"/>
      <w:bookmarkStart w:id="7" w:name="_Toc17549"/>
      <w:r>
        <w:rPr>
          <w:rFonts w:hint="eastAsia" w:ascii="黑体" w:hAnsi="黑体" w:eastAsia="黑体" w:cs="黑体"/>
          <w:b/>
          <w:sz w:val="36"/>
          <w:szCs w:val="36"/>
          <w:lang w:val="en-US" w:eastAsia="zh-CN"/>
        </w:rPr>
        <w:t>采购资质要求</w:t>
      </w:r>
    </w:p>
    <w:p>
      <w:pPr>
        <w:pStyle w:val="5"/>
        <w:rPr>
          <w:rFonts w:hint="eastAsia" w:ascii="黑体" w:hAnsi="黑体" w:eastAsia="黑体" w:cs="黑体"/>
          <w:b/>
          <w:sz w:val="36"/>
          <w:szCs w:val="36"/>
          <w:lang w:val="en-US" w:eastAsia="zh-CN"/>
        </w:rPr>
      </w:pPr>
    </w:p>
    <w:p>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286"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420"/>
        <w:gridCol w:w="1035"/>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 xml:space="preserve">三证（营业执照、税务登记证、组织机构代码证）副本；三证合一的只须提供营业执照副本；事业单位、社会团体提供法人登记证书复印件 </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2023年以来任意三个月的缴纳税收和社保资金证明材料（银行缴款证明或税收机关、社保机关盖章的证明文件）</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网页截图盖公章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3175"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840"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r>
    </w:tbl>
    <w:p>
      <w:pPr>
        <w:pStyle w:val="5"/>
        <w:rPr>
          <w:rFonts w:hint="eastAsia" w:ascii="仿宋" w:hAnsi="仿宋" w:eastAsia="仿宋" w:cs="仿宋"/>
          <w:color w:val="auto"/>
          <w:sz w:val="30"/>
          <w:szCs w:val="30"/>
          <w:highlight w:val="none"/>
          <w:lang w:eastAsia="zh-CN"/>
        </w:rPr>
      </w:pPr>
    </w:p>
    <w:p>
      <w:pPr>
        <w:pStyle w:val="6"/>
        <w:rPr>
          <w:rFonts w:hint="eastAsia" w:ascii="仿宋" w:hAnsi="仿宋" w:eastAsia="仿宋" w:cs="仿宋"/>
          <w:color w:val="auto"/>
          <w:sz w:val="30"/>
          <w:szCs w:val="30"/>
          <w:highlight w:val="none"/>
          <w:lang w:eastAsia="zh-CN"/>
        </w:rPr>
      </w:pPr>
    </w:p>
    <w:p>
      <w:pPr>
        <w:rPr>
          <w:rFonts w:hint="eastAsia" w:ascii="仿宋" w:hAnsi="仿宋" w:eastAsia="仿宋" w:cs="仿宋"/>
          <w:color w:val="auto"/>
          <w:sz w:val="30"/>
          <w:szCs w:val="30"/>
          <w:highlight w:val="none"/>
          <w:lang w:eastAsia="zh-CN"/>
        </w:rPr>
      </w:pPr>
    </w:p>
    <w:p>
      <w:pPr>
        <w:pStyle w:val="5"/>
        <w:rPr>
          <w:rFonts w:hint="eastAsia"/>
          <w:lang w:eastAsia="zh-CN"/>
        </w:rPr>
      </w:pPr>
    </w:p>
    <w:p>
      <w:pPr>
        <w:pStyle w:val="5"/>
        <w:rPr>
          <w:rFonts w:hint="eastAsia"/>
          <w:lang w:eastAsia="zh-CN"/>
        </w:rPr>
      </w:pPr>
    </w:p>
    <w:p>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pPr>
        <w:pStyle w:val="5"/>
        <w:rPr>
          <w:rFonts w:hint="eastAsia" w:ascii="黑体" w:hAnsi="黑体" w:eastAsia="黑体" w:cs="黑体"/>
          <w:sz w:val="28"/>
          <w:szCs w:val="28"/>
        </w:rPr>
      </w:pPr>
    </w:p>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pPr>
        <w:pStyle w:val="5"/>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pPr>
        <w:pStyle w:val="29"/>
        <w:rPr>
          <w:rFonts w:hint="eastAsia" w:ascii="仿宋" w:hAnsi="仿宋" w:eastAsia="仿宋" w:cs="仿宋"/>
          <w:sz w:val="32"/>
          <w:szCs w:val="32"/>
        </w:rPr>
      </w:pPr>
    </w:p>
    <w:p>
      <w:pPr>
        <w:rPr>
          <w:rFonts w:hint="eastAsia"/>
        </w:rPr>
      </w:pP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pPr>
        <w:spacing w:beforeLines="100" w:afterLines="200" w:line="320" w:lineRule="exact"/>
        <w:jc w:val="center"/>
        <w:rPr>
          <w:rFonts w:hint="eastAsia" w:ascii="黑体" w:hAnsi="黑体" w:eastAsia="黑体" w:cs="黑体"/>
          <w:color w:val="auto"/>
          <w:sz w:val="40"/>
          <w:szCs w:val="40"/>
        </w:rPr>
      </w:pPr>
      <w:bookmarkStart w:id="8" w:name="_Toc24199"/>
      <w:bookmarkStart w:id="9" w:name="_Toc16184"/>
      <w:bookmarkStart w:id="10" w:name="_Toc199"/>
      <w:bookmarkStart w:id="11" w:name="_Toc1800"/>
      <w:bookmarkStart w:id="12" w:name="_Toc12426"/>
      <w:bookmarkStart w:id="13" w:name="_Toc1287"/>
      <w:bookmarkStart w:id="14" w:name="_Toc439699522"/>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pPr>
        <w:pStyle w:val="27"/>
        <w:spacing w:line="240" w:lineRule="auto"/>
        <w:ind w:firstLine="0"/>
        <w:rPr>
          <w:rFonts w:hint="eastAsia" w:ascii="仿宋" w:hAnsi="仿宋" w:eastAsia="仿宋" w:cs="仿宋"/>
          <w:color w:val="auto"/>
          <w:sz w:val="32"/>
          <w:szCs w:val="32"/>
        </w:rPr>
      </w:pPr>
    </w:p>
    <w:p>
      <w:pPr>
        <w:pStyle w:val="27"/>
        <w:spacing w:line="240" w:lineRule="auto"/>
        <w:ind w:firstLine="0"/>
        <w:rPr>
          <w:rFonts w:hint="eastAsia" w:ascii="仿宋" w:hAnsi="仿宋" w:eastAsia="仿宋" w:cs="仿宋"/>
          <w:color w:val="auto"/>
          <w:sz w:val="32"/>
          <w:szCs w:val="32"/>
        </w:rPr>
      </w:pPr>
    </w:p>
    <w:p>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3</w:t>
      </w:r>
      <w:r>
        <w:rPr>
          <w:rFonts w:hint="eastAsia" w:ascii="仿宋" w:hAnsi="仿宋" w:eastAsia="仿宋" w:cs="仿宋"/>
          <w:color w:val="auto"/>
          <w:kern w:val="2"/>
          <w:sz w:val="32"/>
          <w:szCs w:val="32"/>
        </w:rPr>
        <w:t>年  月  日</w:t>
      </w:r>
      <w:bookmarkEnd w:id="15"/>
    </w:p>
    <w:p>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pPr>
        <w:spacing w:after="0" w:line="360" w:lineRule="auto"/>
        <w:rPr>
          <w:rFonts w:hint="eastAsia" w:ascii="黑体" w:hAnsi="黑体" w:eastAsia="黑体" w:cs="黑体"/>
        </w:rPr>
      </w:pPr>
    </w:p>
    <w:p>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pPr>
        <w:pStyle w:val="5"/>
        <w:rPr>
          <w:rFonts w:hint="eastAsia" w:ascii="黑体" w:hAnsi="黑体" w:eastAsia="黑体" w:cs="黑体"/>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采购基本要求：</w:t>
      </w:r>
    </w:p>
    <w:tbl>
      <w:tblPr>
        <w:tblStyle w:val="18"/>
        <w:tblpPr w:leftFromText="180" w:rightFromText="180" w:vertAnchor="text" w:horzAnchor="page" w:tblpX="1969" w:tblpY="7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0"/>
        <w:gridCol w:w="2277"/>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40" w:type="dxa"/>
          </w:tcPr>
          <w:p>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医院</w:t>
            </w:r>
          </w:p>
        </w:tc>
        <w:tc>
          <w:tcPr>
            <w:tcW w:w="2277" w:type="dxa"/>
          </w:tcPr>
          <w:p>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每人每次赔偿</w:t>
            </w:r>
          </w:p>
        </w:tc>
        <w:tc>
          <w:tcPr>
            <w:tcW w:w="2982" w:type="dxa"/>
          </w:tcPr>
          <w:p>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每年累计赔偿限额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540" w:type="dxa"/>
          </w:tcPr>
          <w:p>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床位数：300张</w:t>
            </w:r>
          </w:p>
        </w:tc>
        <w:tc>
          <w:tcPr>
            <w:tcW w:w="2277" w:type="dxa"/>
            <w:vMerge w:val="restart"/>
          </w:tcPr>
          <w:p>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不低于10万元</w:t>
            </w:r>
          </w:p>
        </w:tc>
        <w:tc>
          <w:tcPr>
            <w:tcW w:w="2982" w:type="dxa"/>
            <w:vMerge w:val="restart"/>
          </w:tcPr>
          <w:p>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不低于50万元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540" w:type="dxa"/>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医务人员：295人</w:t>
            </w:r>
          </w:p>
        </w:tc>
        <w:tc>
          <w:tcPr>
            <w:tcW w:w="2277" w:type="dxa"/>
            <w:vMerge w:val="continue"/>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2982" w:type="dxa"/>
            <w:vMerge w:val="continue"/>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bl>
    <w:p>
      <w:pPr>
        <w:pStyle w:val="16"/>
        <w:numPr>
          <w:ilvl w:val="0"/>
          <w:numId w:val="0"/>
        </w:numPr>
        <w:spacing w:line="240" w:lineRule="auto"/>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最低要求：</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p>
      <w:pPr>
        <w:pStyle w:val="16"/>
        <w:numPr>
          <w:ilvl w:val="0"/>
          <w:numId w:val="0"/>
        </w:numPr>
        <w:spacing w:line="240" w:lineRule="auto"/>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p>
    <w:p>
      <w:pPr>
        <w:pStyle w:val="16"/>
        <w:numPr>
          <w:ilvl w:val="0"/>
          <w:numId w:val="0"/>
        </w:numPr>
        <w:spacing w:line="240" w:lineRule="auto"/>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7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2" w:type="dxa"/>
            <w:vMerge w:val="restart"/>
            <w:noWrap w:val="0"/>
            <w:vAlign w:val="center"/>
          </w:tcPr>
          <w:p>
            <w:pPr>
              <w:pStyle w:val="31"/>
              <w:spacing w:line="360" w:lineRule="auto"/>
              <w:rPr>
                <w:rFonts w:hint="eastAsia" w:ascii="仿宋_GB2312" w:hAnsi="宋体" w:eastAsia="仿宋_GB2312"/>
                <w:color w:val="000000"/>
                <w:sz w:val="28"/>
                <w:szCs w:val="28"/>
              </w:rPr>
            </w:pPr>
            <w:r>
              <w:rPr>
                <w:rFonts w:hint="eastAsia" w:ascii="仿宋_GB2312" w:hAnsi="宋体" w:eastAsia="仿宋_GB2312"/>
                <w:color w:val="000000"/>
                <w:sz w:val="28"/>
                <w:szCs w:val="28"/>
              </w:rPr>
              <w:t>序号</w:t>
            </w:r>
          </w:p>
        </w:tc>
        <w:tc>
          <w:tcPr>
            <w:tcW w:w="7917" w:type="dxa"/>
            <w:vMerge w:val="restart"/>
            <w:noWrap w:val="0"/>
            <w:vAlign w:val="center"/>
          </w:tcPr>
          <w:p>
            <w:pPr>
              <w:pStyle w:val="31"/>
              <w:spacing w:line="360" w:lineRule="auto"/>
              <w:jc w:val="center"/>
              <w:rPr>
                <w:rFonts w:hint="default" w:ascii="仿宋_GB2312" w:hAnsi="宋体" w:eastAsia="仿宋_GB2312" w:cs="宋体"/>
                <w:color w:val="000000"/>
                <w:sz w:val="28"/>
                <w:szCs w:val="28"/>
                <w:lang w:val="en-US"/>
              </w:rPr>
            </w:pPr>
            <w:r>
              <w:rPr>
                <w:rFonts w:hint="eastAsia" w:ascii="仿宋_GB2312" w:hAnsi="宋体" w:eastAsia="仿宋_GB2312" w:cs="宋体"/>
                <w:color w:val="000000"/>
                <w:sz w:val="28"/>
                <w:szCs w:val="28"/>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2" w:type="dxa"/>
            <w:vMerge w:val="continue"/>
            <w:noWrap w:val="0"/>
            <w:vAlign w:val="center"/>
          </w:tcPr>
          <w:p>
            <w:pPr>
              <w:pStyle w:val="31"/>
              <w:spacing w:line="360" w:lineRule="auto"/>
              <w:ind w:firstLine="440" w:firstLineChars="200"/>
              <w:rPr>
                <w:rFonts w:hint="eastAsia" w:ascii="宋体" w:hAnsi="宋体"/>
                <w:color w:val="000000"/>
                <w:sz w:val="22"/>
                <w:szCs w:val="22"/>
              </w:rPr>
            </w:pPr>
          </w:p>
        </w:tc>
        <w:tc>
          <w:tcPr>
            <w:tcW w:w="7917" w:type="dxa"/>
            <w:vMerge w:val="continue"/>
            <w:noWrap w:val="0"/>
            <w:vAlign w:val="center"/>
          </w:tcPr>
          <w:p>
            <w:pPr>
              <w:pStyle w:val="31"/>
              <w:spacing w:line="360" w:lineRule="auto"/>
              <w:jc w:val="center"/>
              <w:rPr>
                <w:rFonts w:hint="eastAsia" w:ascii="仿宋_GB2312" w:hAnsi="宋体"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1122" w:type="dxa"/>
            <w:noWrap w:val="0"/>
            <w:vAlign w:val="top"/>
          </w:tcPr>
          <w:p>
            <w:pPr>
              <w:pStyle w:val="31"/>
              <w:spacing w:line="360" w:lineRule="auto"/>
              <w:ind w:firstLine="440" w:firstLineChars="200"/>
              <w:rPr>
                <w:rFonts w:hint="eastAsia" w:ascii="宋体" w:hAnsi="宋体"/>
                <w:color w:val="000000"/>
                <w:sz w:val="22"/>
                <w:szCs w:val="22"/>
              </w:rPr>
            </w:pPr>
            <w:r>
              <w:rPr>
                <w:rFonts w:hint="eastAsia" w:ascii="宋体" w:hAnsi="宋体"/>
                <w:color w:val="000000"/>
                <w:sz w:val="22"/>
                <w:szCs w:val="22"/>
              </w:rPr>
              <w:t>1</w:t>
            </w:r>
          </w:p>
        </w:tc>
        <w:tc>
          <w:tcPr>
            <w:tcW w:w="7917" w:type="dxa"/>
            <w:noWrap w:val="0"/>
            <w:vAlign w:val="top"/>
          </w:tcPr>
          <w:p>
            <w:pPr>
              <w:pStyle w:val="15"/>
              <w:snapToGrid w:val="0"/>
              <w:spacing w:before="0" w:beforeAutospacing="0" w:after="0" w:afterAutospacing="0" w:line="312" w:lineRule="auto"/>
              <w:ind w:firstLine="560" w:firstLineChars="200"/>
              <w:rPr>
                <w:rFonts w:hint="eastAsia" w:ascii="仿宋_GB2312" w:eastAsia="仿宋_GB2312"/>
                <w:color w:val="000000"/>
                <w:sz w:val="28"/>
                <w:szCs w:val="28"/>
              </w:rPr>
            </w:pPr>
            <w:r>
              <w:rPr>
                <w:rFonts w:hint="eastAsia" w:ascii="仿宋_GB2312" w:hAnsi="仿宋_GB2312" w:eastAsia="仿宋_GB2312" w:cs="仿宋_GB2312"/>
                <w:color w:val="000000"/>
                <w:sz w:val="28"/>
                <w:szCs w:val="28"/>
                <w:shd w:val="clear" w:color="auto" w:fill="FFFFFF"/>
              </w:rPr>
              <w:t>1、保障范围：在保险期间或保险合同载明的追溯期内，乐山市中医医院医务人员（含多点执业人员）在本机构执业过程中因过失发生医疗事故、医疗过错及医疗意外造成的损害赔偿请求或因与医疗行为有关的纠纷引起的非损害赔偿请求，以及相关的法律费用（包括鉴定费、律师费、诉讼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122" w:type="dxa"/>
            <w:noWrap w:val="0"/>
            <w:vAlign w:val="top"/>
          </w:tcPr>
          <w:p>
            <w:pPr>
              <w:pStyle w:val="31"/>
              <w:spacing w:line="360" w:lineRule="auto"/>
              <w:ind w:firstLine="440" w:firstLineChars="200"/>
              <w:rPr>
                <w:rFonts w:hint="eastAsia" w:ascii="宋体" w:hAnsi="宋体"/>
                <w:color w:val="000000"/>
                <w:sz w:val="22"/>
                <w:szCs w:val="22"/>
              </w:rPr>
            </w:pPr>
            <w:r>
              <w:rPr>
                <w:rFonts w:hint="eastAsia" w:ascii="宋体" w:hAnsi="宋体"/>
                <w:color w:val="000000"/>
                <w:sz w:val="22"/>
                <w:szCs w:val="22"/>
              </w:rPr>
              <w:t>2</w:t>
            </w:r>
          </w:p>
        </w:tc>
        <w:tc>
          <w:tcPr>
            <w:tcW w:w="7917" w:type="dxa"/>
            <w:noWrap w:val="0"/>
            <w:vAlign w:val="top"/>
          </w:tcPr>
          <w:p>
            <w:pPr>
              <w:pStyle w:val="31"/>
              <w:spacing w:line="360" w:lineRule="auto"/>
              <w:ind w:firstLine="560" w:firstLineChars="200"/>
              <w:rPr>
                <w:rFonts w:hint="eastAsia" w:ascii="仿宋_GB2312" w:hAnsi="宋体" w:eastAsia="仿宋_GB2312"/>
                <w:color w:val="000000"/>
                <w:sz w:val="28"/>
                <w:szCs w:val="28"/>
              </w:rPr>
            </w:pPr>
            <w:r>
              <w:rPr>
                <w:rFonts w:hint="eastAsia" w:ascii="仿宋_GB2312" w:hAnsi="仿宋_GB2312" w:eastAsia="仿宋_GB2312" w:cs="仿宋_GB2312"/>
                <w:color w:val="000000"/>
                <w:sz w:val="28"/>
                <w:szCs w:val="28"/>
                <w:shd w:val="clear" w:color="auto" w:fill="FFFFFF"/>
              </w:rPr>
              <w:t>理赔要求：赔付金额在</w:t>
            </w:r>
            <w:r>
              <w:rPr>
                <w:rFonts w:hint="eastAsia" w:ascii="仿宋_GB2312" w:hAnsi="仿宋_GB2312" w:eastAsia="仿宋_GB2312" w:cs="仿宋_GB2312"/>
                <w:color w:val="000000"/>
                <w:sz w:val="28"/>
                <w:szCs w:val="28"/>
                <w:shd w:val="clear" w:color="auto" w:fill="FFFFFF"/>
                <w:lang w:val="en-US" w:eastAsia="zh-CN"/>
              </w:rPr>
              <w:t>2</w:t>
            </w:r>
            <w:r>
              <w:rPr>
                <w:rFonts w:hint="eastAsia" w:ascii="仿宋_GB2312" w:hAnsi="仿宋_GB2312" w:eastAsia="仿宋_GB2312" w:cs="仿宋_GB2312"/>
                <w:color w:val="000000"/>
                <w:sz w:val="28"/>
                <w:szCs w:val="28"/>
                <w:shd w:val="clear" w:color="auto" w:fill="FFFFFF"/>
              </w:rPr>
              <w:t>万元以内的案件，简易处理（医院提供赔付协议、患者身份证复印件、赔付费用单据、支付赔偿凭证等）。</w:t>
            </w:r>
            <w:r>
              <w:rPr>
                <w:rFonts w:hint="eastAsia" w:ascii="仿宋_GB2312" w:hAnsi="仿宋_GB2312" w:eastAsia="仿宋_GB2312" w:cs="仿宋_GB2312"/>
                <w:color w:val="000000"/>
                <w:sz w:val="28"/>
                <w:szCs w:val="28"/>
                <w:shd w:val="clear" w:color="auto" w:fill="FFFFFF"/>
                <w:lang w:val="en-US" w:eastAsia="zh-CN"/>
              </w:rPr>
              <w:t>2</w:t>
            </w:r>
            <w:r>
              <w:rPr>
                <w:rFonts w:hint="eastAsia" w:ascii="仿宋_GB2312" w:hAnsi="仿宋_GB2312" w:eastAsia="仿宋_GB2312" w:cs="仿宋_GB2312"/>
                <w:color w:val="000000"/>
                <w:sz w:val="28"/>
                <w:szCs w:val="28"/>
                <w:shd w:val="clear" w:color="auto" w:fill="FFFFFF"/>
              </w:rPr>
              <w:t>万元以上的案件医院提供事故证明原件（医疗事故鉴定书或法院判决书、调解书；其他证明材料)。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122" w:type="dxa"/>
            <w:noWrap w:val="0"/>
            <w:vAlign w:val="top"/>
          </w:tcPr>
          <w:p>
            <w:pPr>
              <w:pStyle w:val="31"/>
              <w:spacing w:line="360" w:lineRule="auto"/>
              <w:ind w:firstLine="440" w:firstLineChars="200"/>
              <w:rPr>
                <w:rFonts w:hint="eastAsia" w:ascii="宋体" w:hAnsi="宋体"/>
                <w:color w:val="000000"/>
                <w:sz w:val="22"/>
                <w:szCs w:val="22"/>
              </w:rPr>
            </w:pPr>
            <w:r>
              <w:rPr>
                <w:rFonts w:hint="eastAsia" w:ascii="宋体" w:hAnsi="宋体"/>
                <w:color w:val="000000"/>
                <w:sz w:val="22"/>
                <w:szCs w:val="22"/>
              </w:rPr>
              <w:t>3</w:t>
            </w:r>
          </w:p>
        </w:tc>
        <w:tc>
          <w:tcPr>
            <w:tcW w:w="7917" w:type="dxa"/>
            <w:noWrap w:val="0"/>
            <w:vAlign w:val="top"/>
          </w:tcPr>
          <w:p>
            <w:pPr>
              <w:pStyle w:val="31"/>
              <w:spacing w:line="360" w:lineRule="auto"/>
              <w:rPr>
                <w:rFonts w:hint="eastAsia" w:ascii="仿宋_GB2312" w:hAnsi="宋体" w:eastAsia="仿宋_GB2312"/>
                <w:color w:val="000000"/>
                <w:sz w:val="28"/>
                <w:szCs w:val="28"/>
              </w:rPr>
            </w:pPr>
            <w:r>
              <w:rPr>
                <w:rFonts w:hint="eastAsia" w:ascii="仿宋_GB2312" w:hAnsi="仿宋_GB2312" w:eastAsia="仿宋_GB2312" w:cs="仿宋_GB2312"/>
                <w:color w:val="000000"/>
                <w:sz w:val="28"/>
                <w:szCs w:val="28"/>
                <w:shd w:val="clear" w:color="auto" w:fill="FFFFFF"/>
              </w:rPr>
              <w:t>当发生医疗投诉/纠纷，采购人认为有必要时，供应商需派出具备医学、法学知识的专业团队参加与患者的沟通协调会，积极、主动化解矛盾。</w:t>
            </w:r>
          </w:p>
        </w:tc>
      </w:tr>
    </w:tbl>
    <w:p>
      <w:pPr>
        <w:pStyle w:val="16"/>
        <w:numPr>
          <w:ilvl w:val="0"/>
          <w:numId w:val="0"/>
        </w:numPr>
        <w:spacing w:line="240" w:lineRule="auto"/>
        <w:ind w:leftChars="0"/>
        <w:rPr>
          <w:rFonts w:hint="eastAsia" w:ascii="仿宋" w:hAnsi="仿宋" w:eastAsia="仿宋" w:cs="仿宋"/>
          <w:sz w:val="32"/>
          <w:szCs w:val="32"/>
          <w:lang w:val="en-US" w:eastAsia="zh-CN"/>
        </w:rPr>
      </w:pPr>
    </w:p>
    <w:p>
      <w:pPr>
        <w:pStyle w:val="16"/>
        <w:numPr>
          <w:ilvl w:val="0"/>
          <w:numId w:val="0"/>
        </w:numPr>
        <w:spacing w:line="240" w:lineRule="auto"/>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服务要求：保险事故发生后2个月内完成赔付，每次事故每人绝对免赔2000元或损失金额的20%，两者以高为准。</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付款方式：合同签订后20日内一次性支付。</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医责险合同要有追溯期。</w:t>
      </w:r>
    </w:p>
    <w:p>
      <w:pPr>
        <w:rPr>
          <w:rFonts w:hint="eastAsia" w:ascii="黑体" w:hAnsi="黑体" w:eastAsia="黑体" w:cs="黑体"/>
          <w:lang w:eastAsia="zh-CN"/>
        </w:rPr>
      </w:pPr>
    </w:p>
    <w:p>
      <w:pPr>
        <w:rPr>
          <w:rFonts w:hint="eastAsia" w:ascii="黑体" w:hAnsi="黑体" w:eastAsia="黑体" w:cs="黑体"/>
          <w:sz w:val="32"/>
          <w:szCs w:val="40"/>
          <w:lang w:eastAsia="zh-CN"/>
        </w:rPr>
      </w:pPr>
    </w:p>
    <w:p>
      <w:pPr>
        <w:rPr>
          <w:rFonts w:hint="eastAsia" w:ascii="黑体" w:hAnsi="黑体" w:eastAsia="黑体" w:cs="黑体"/>
          <w:sz w:val="32"/>
          <w:szCs w:val="40"/>
          <w:lang w:eastAsia="zh-CN"/>
        </w:rPr>
      </w:pPr>
    </w:p>
    <w:p>
      <w:pPr>
        <w:rPr>
          <w:rFonts w:hint="eastAsia" w:ascii="黑体" w:hAnsi="黑体" w:eastAsia="黑体" w:cs="黑体"/>
          <w:lang w:eastAsia="zh-CN"/>
        </w:rPr>
      </w:pPr>
      <w:r>
        <w:rPr>
          <w:rFonts w:hint="eastAsia" w:ascii="黑体" w:hAnsi="黑体" w:eastAsia="黑体" w:cs="黑体"/>
          <w:sz w:val="32"/>
          <w:szCs w:val="40"/>
          <w:lang w:eastAsia="zh-CN"/>
        </w:rPr>
        <w:t>评分标准</w:t>
      </w:r>
      <w:r>
        <w:rPr>
          <w:rFonts w:hint="eastAsia" w:ascii="黑体" w:hAnsi="黑体" w:eastAsia="黑体" w:cs="黑体"/>
          <w:lang w:eastAsia="zh-CN"/>
        </w:rPr>
        <w:t>：</w:t>
      </w:r>
    </w:p>
    <w:tbl>
      <w:tblPr>
        <w:tblStyle w:val="17"/>
        <w:tblW w:w="9958" w:type="dxa"/>
        <w:jc w:val="center"/>
        <w:tblLayout w:type="fixed"/>
        <w:tblCellMar>
          <w:top w:w="0" w:type="dxa"/>
          <w:left w:w="108" w:type="dxa"/>
          <w:bottom w:w="0" w:type="dxa"/>
          <w:right w:w="108" w:type="dxa"/>
        </w:tblCellMar>
      </w:tblPr>
      <w:tblGrid>
        <w:gridCol w:w="579"/>
        <w:gridCol w:w="1023"/>
        <w:gridCol w:w="860"/>
        <w:gridCol w:w="6510"/>
        <w:gridCol w:w="986"/>
      </w:tblGrid>
      <w:tr>
        <w:tblPrEx>
          <w:tblCellMar>
            <w:top w:w="0" w:type="dxa"/>
            <w:left w:w="108" w:type="dxa"/>
            <w:bottom w:w="0" w:type="dxa"/>
            <w:right w:w="108" w:type="dxa"/>
          </w:tblCellMar>
        </w:tblPrEx>
        <w:trPr>
          <w:cantSplit/>
          <w:trHeight w:val="821"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序号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评分因素</w:t>
            </w:r>
          </w:p>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及权重</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分值</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评分标准</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说 明</w:t>
            </w:r>
          </w:p>
        </w:tc>
      </w:tr>
      <w:tr>
        <w:tblPrEx>
          <w:tblCellMar>
            <w:top w:w="0" w:type="dxa"/>
            <w:left w:w="108" w:type="dxa"/>
            <w:bottom w:w="0" w:type="dxa"/>
            <w:right w:w="108" w:type="dxa"/>
          </w:tblCellMar>
        </w:tblPrEx>
        <w:trPr>
          <w:trHeight w:val="122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1</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报价</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60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满足招标文件要求且投标价格最低的投标报价为评标基准价，其价格分为满分。其他供应商的价格分统一按照下列公式计算：投标报价得分=(评标基准价÷投标报价)×60%×100；（最低价基准法）</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共同评审因素</w:t>
            </w:r>
          </w:p>
        </w:tc>
      </w:tr>
      <w:tr>
        <w:tblPrEx>
          <w:tblCellMar>
            <w:top w:w="0" w:type="dxa"/>
            <w:left w:w="108" w:type="dxa"/>
            <w:bottom w:w="0" w:type="dxa"/>
            <w:right w:w="108" w:type="dxa"/>
          </w:tblCellMar>
        </w:tblPrEx>
        <w:trPr>
          <w:trHeight w:val="122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2</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lang w:eastAsia="zh-CN"/>
              </w:rPr>
              <w:t>技术要求</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both"/>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10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32"/>
                <w:szCs w:val="32"/>
                <w:lang w:val="en-US" w:eastAsia="zh-CN"/>
              </w:rPr>
            </w:pPr>
            <w:r>
              <w:rPr>
                <w:rFonts w:hint="eastAsia" w:ascii="仿宋" w:hAnsi="仿宋" w:eastAsia="仿宋" w:cs="仿宋"/>
                <w:kern w:val="1"/>
                <w:sz w:val="32"/>
                <w:szCs w:val="32"/>
                <w:lang w:val="en-US" w:eastAsia="zh-CN"/>
              </w:rPr>
              <w:t>根据供应商对技术，完全响应文件要求没有负偏离的得满分，有一项负偏离的扣2分，扣完为止</w:t>
            </w:r>
            <w:r>
              <w:rPr>
                <w:rFonts w:hint="eastAsia" w:ascii="仿宋" w:hAnsi="仿宋" w:eastAsia="仿宋" w:cs="仿宋"/>
                <w:kern w:val="1"/>
                <w:sz w:val="32"/>
                <w:szCs w:val="32"/>
              </w:rPr>
              <w:t>。</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tblPrEx>
          <w:tblCellMar>
            <w:top w:w="0" w:type="dxa"/>
            <w:left w:w="108" w:type="dxa"/>
            <w:bottom w:w="0" w:type="dxa"/>
            <w:right w:w="108" w:type="dxa"/>
          </w:tblCellMar>
        </w:tblPrEx>
        <w:trPr>
          <w:trHeight w:val="1735"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3</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p>
          <w:p>
            <w:pPr>
              <w:spacing w:line="320" w:lineRule="atLeast"/>
              <w:jc w:val="center"/>
              <w:rPr>
                <w:rFonts w:hint="eastAsia" w:ascii="仿宋" w:hAnsi="仿宋" w:eastAsia="仿宋" w:cs="仿宋"/>
                <w:kern w:val="1"/>
                <w:sz w:val="32"/>
                <w:szCs w:val="32"/>
                <w:lang w:val="en-US" w:eastAsia="zh-CN"/>
              </w:rPr>
            </w:pPr>
            <w:r>
              <w:rPr>
                <w:rFonts w:hint="eastAsia" w:ascii="仿宋" w:hAnsi="仿宋" w:eastAsia="仿宋" w:cs="仿宋"/>
                <w:sz w:val="32"/>
                <w:szCs w:val="32"/>
              </w:rPr>
              <w:t>服务</w:t>
            </w:r>
            <w:r>
              <w:rPr>
                <w:rFonts w:hint="eastAsia" w:ascii="仿宋" w:hAnsi="仿宋" w:eastAsia="仿宋" w:cs="仿宋"/>
                <w:kern w:val="1"/>
                <w:sz w:val="32"/>
                <w:szCs w:val="32"/>
                <w:lang w:val="en-US" w:eastAsia="zh-CN"/>
              </w:rPr>
              <w:t>方案</w:t>
            </w:r>
          </w:p>
          <w:p>
            <w:pPr>
              <w:spacing w:line="320" w:lineRule="atLeast"/>
              <w:jc w:val="center"/>
              <w:rPr>
                <w:rFonts w:hint="eastAsia" w:ascii="仿宋" w:hAnsi="仿宋" w:eastAsia="仿宋" w:cs="仿宋"/>
                <w:sz w:val="32"/>
                <w:szCs w:val="32"/>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sz w:val="32"/>
                <w:szCs w:val="32"/>
                <w:lang w:val="en-US" w:eastAsia="zh-CN"/>
              </w:rPr>
            </w:pPr>
            <w:r>
              <w:rPr>
                <w:rFonts w:hint="eastAsia" w:ascii="仿宋" w:hAnsi="仿宋" w:eastAsia="仿宋" w:cs="仿宋"/>
                <w:kern w:val="1"/>
                <w:sz w:val="32"/>
                <w:szCs w:val="32"/>
                <w:lang w:val="en-US" w:eastAsia="zh-CN"/>
              </w:rPr>
              <w:t>30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保险公司提供服务方案，方案中应具备1、提供的保险方案。2、服务标准。3、服务流程。4、增值服务。</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bl>
    <w:p>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1D6A547E"/>
    <w:multiLevelType w:val="singleLevel"/>
    <w:tmpl w:val="1D6A547E"/>
    <w:lvl w:ilvl="0" w:tentative="0">
      <w:start w:val="1"/>
      <w:numFmt w:val="decimal"/>
      <w:suff w:val="nothing"/>
      <w:lvlText w:val="%1、"/>
      <w:lvlJc w:val="left"/>
      <w:pPr>
        <w:ind w:left="2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ZTAyMGRmMjcwNTBmOGI2MDAwOTRkOTlkYmMzZjAifQ=="/>
  </w:docVars>
  <w:rsids>
    <w:rsidRoot w:val="20B86F62"/>
    <w:rsid w:val="00FE51BA"/>
    <w:rsid w:val="01724615"/>
    <w:rsid w:val="01AC44D5"/>
    <w:rsid w:val="01DA1F83"/>
    <w:rsid w:val="02653FAC"/>
    <w:rsid w:val="038264FB"/>
    <w:rsid w:val="03E45948"/>
    <w:rsid w:val="03EB6F22"/>
    <w:rsid w:val="047A7398"/>
    <w:rsid w:val="04976AF6"/>
    <w:rsid w:val="05813897"/>
    <w:rsid w:val="05B93485"/>
    <w:rsid w:val="05DD44EC"/>
    <w:rsid w:val="05FA4A68"/>
    <w:rsid w:val="06C83EF1"/>
    <w:rsid w:val="07954271"/>
    <w:rsid w:val="07E32607"/>
    <w:rsid w:val="083F7233"/>
    <w:rsid w:val="08570094"/>
    <w:rsid w:val="0892424A"/>
    <w:rsid w:val="08A100E8"/>
    <w:rsid w:val="08D706EB"/>
    <w:rsid w:val="09281C73"/>
    <w:rsid w:val="092B0852"/>
    <w:rsid w:val="0A5766D2"/>
    <w:rsid w:val="0B5B6EA7"/>
    <w:rsid w:val="0B9B184D"/>
    <w:rsid w:val="0BBF2600"/>
    <w:rsid w:val="0C3E61B9"/>
    <w:rsid w:val="0CCC0789"/>
    <w:rsid w:val="0DA12370"/>
    <w:rsid w:val="0DBF0EC4"/>
    <w:rsid w:val="0DE40DBE"/>
    <w:rsid w:val="0E672DB3"/>
    <w:rsid w:val="0E741EEB"/>
    <w:rsid w:val="0E904937"/>
    <w:rsid w:val="0E9E1831"/>
    <w:rsid w:val="0EAB0093"/>
    <w:rsid w:val="0F225786"/>
    <w:rsid w:val="0FCE2C6B"/>
    <w:rsid w:val="1074627F"/>
    <w:rsid w:val="107F49DA"/>
    <w:rsid w:val="11103FB2"/>
    <w:rsid w:val="11106DD4"/>
    <w:rsid w:val="113065C7"/>
    <w:rsid w:val="11551C0D"/>
    <w:rsid w:val="11630C29"/>
    <w:rsid w:val="12374305"/>
    <w:rsid w:val="12AB3D92"/>
    <w:rsid w:val="132D67B3"/>
    <w:rsid w:val="13320F8E"/>
    <w:rsid w:val="13E72023"/>
    <w:rsid w:val="159705C2"/>
    <w:rsid w:val="16A3587A"/>
    <w:rsid w:val="182F44F3"/>
    <w:rsid w:val="184E41FF"/>
    <w:rsid w:val="1865790E"/>
    <w:rsid w:val="189E6B7E"/>
    <w:rsid w:val="18E41C4F"/>
    <w:rsid w:val="18EA25BB"/>
    <w:rsid w:val="193B3817"/>
    <w:rsid w:val="19497A6B"/>
    <w:rsid w:val="1998123A"/>
    <w:rsid w:val="19DF1744"/>
    <w:rsid w:val="1A8B6B5A"/>
    <w:rsid w:val="1AF5353D"/>
    <w:rsid w:val="1B493578"/>
    <w:rsid w:val="1B5723EF"/>
    <w:rsid w:val="1B93321C"/>
    <w:rsid w:val="1BAD400C"/>
    <w:rsid w:val="1C380FAC"/>
    <w:rsid w:val="1DE81A96"/>
    <w:rsid w:val="1E4521C9"/>
    <w:rsid w:val="1EC85776"/>
    <w:rsid w:val="1F0B1E38"/>
    <w:rsid w:val="1F176598"/>
    <w:rsid w:val="1F782175"/>
    <w:rsid w:val="1FFB4E00"/>
    <w:rsid w:val="200C1DCC"/>
    <w:rsid w:val="2024443A"/>
    <w:rsid w:val="20B62B46"/>
    <w:rsid w:val="20B86F62"/>
    <w:rsid w:val="20DA469D"/>
    <w:rsid w:val="21141E9E"/>
    <w:rsid w:val="219C0C5F"/>
    <w:rsid w:val="223E3923"/>
    <w:rsid w:val="22CD72A0"/>
    <w:rsid w:val="22DC6C27"/>
    <w:rsid w:val="230709BE"/>
    <w:rsid w:val="2333299E"/>
    <w:rsid w:val="23B92E0F"/>
    <w:rsid w:val="24640781"/>
    <w:rsid w:val="24972E1D"/>
    <w:rsid w:val="2575459C"/>
    <w:rsid w:val="258F1C50"/>
    <w:rsid w:val="25C61A87"/>
    <w:rsid w:val="260C2C13"/>
    <w:rsid w:val="26DE5391"/>
    <w:rsid w:val="26F92D9C"/>
    <w:rsid w:val="27727EF2"/>
    <w:rsid w:val="27E167C8"/>
    <w:rsid w:val="27E8188C"/>
    <w:rsid w:val="27FC6D6D"/>
    <w:rsid w:val="280F7F64"/>
    <w:rsid w:val="286E79EF"/>
    <w:rsid w:val="295D2E54"/>
    <w:rsid w:val="29E733A5"/>
    <w:rsid w:val="29EC6ACA"/>
    <w:rsid w:val="2A6F6F5A"/>
    <w:rsid w:val="2A752D03"/>
    <w:rsid w:val="2A954942"/>
    <w:rsid w:val="2AD02384"/>
    <w:rsid w:val="2B4A4982"/>
    <w:rsid w:val="2B6C2AA5"/>
    <w:rsid w:val="2C3A64AA"/>
    <w:rsid w:val="2C603C27"/>
    <w:rsid w:val="2CC9483E"/>
    <w:rsid w:val="2CD61AC0"/>
    <w:rsid w:val="2D003A0D"/>
    <w:rsid w:val="2D225054"/>
    <w:rsid w:val="2D3E76EB"/>
    <w:rsid w:val="2D675D4F"/>
    <w:rsid w:val="2DAD2928"/>
    <w:rsid w:val="2E3D6C9E"/>
    <w:rsid w:val="2E681D4B"/>
    <w:rsid w:val="2E763F41"/>
    <w:rsid w:val="2ED755ED"/>
    <w:rsid w:val="2EFF3B7B"/>
    <w:rsid w:val="2F2D5CF3"/>
    <w:rsid w:val="2FFD053A"/>
    <w:rsid w:val="305074F8"/>
    <w:rsid w:val="30567424"/>
    <w:rsid w:val="30A47F0F"/>
    <w:rsid w:val="31AE2E30"/>
    <w:rsid w:val="32145B6C"/>
    <w:rsid w:val="32482F63"/>
    <w:rsid w:val="32887A79"/>
    <w:rsid w:val="3367096B"/>
    <w:rsid w:val="34015BA1"/>
    <w:rsid w:val="34104944"/>
    <w:rsid w:val="34607C42"/>
    <w:rsid w:val="34AD3121"/>
    <w:rsid w:val="35850C85"/>
    <w:rsid w:val="358537EA"/>
    <w:rsid w:val="36206E51"/>
    <w:rsid w:val="3645059F"/>
    <w:rsid w:val="36FA0C0E"/>
    <w:rsid w:val="37564C34"/>
    <w:rsid w:val="37AF0C3F"/>
    <w:rsid w:val="381338B3"/>
    <w:rsid w:val="387820A1"/>
    <w:rsid w:val="391D2725"/>
    <w:rsid w:val="39241426"/>
    <w:rsid w:val="3A0A5821"/>
    <w:rsid w:val="3AE30FAC"/>
    <w:rsid w:val="3B3A67B9"/>
    <w:rsid w:val="3B572D45"/>
    <w:rsid w:val="3BB47094"/>
    <w:rsid w:val="3BD82555"/>
    <w:rsid w:val="3C396CD8"/>
    <w:rsid w:val="3D912EF9"/>
    <w:rsid w:val="3DA25E25"/>
    <w:rsid w:val="3E103198"/>
    <w:rsid w:val="3E5C675F"/>
    <w:rsid w:val="3EBE1131"/>
    <w:rsid w:val="3F541632"/>
    <w:rsid w:val="4003626C"/>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C05837"/>
    <w:rsid w:val="43EA5A8B"/>
    <w:rsid w:val="440E56DA"/>
    <w:rsid w:val="443E01E7"/>
    <w:rsid w:val="4448345A"/>
    <w:rsid w:val="44665196"/>
    <w:rsid w:val="44CD6391"/>
    <w:rsid w:val="44D66D93"/>
    <w:rsid w:val="45484D77"/>
    <w:rsid w:val="45976AE3"/>
    <w:rsid w:val="45D1027C"/>
    <w:rsid w:val="46653F5C"/>
    <w:rsid w:val="4670116D"/>
    <w:rsid w:val="46BF177E"/>
    <w:rsid w:val="46CC0FBC"/>
    <w:rsid w:val="46F821E8"/>
    <w:rsid w:val="47E92A18"/>
    <w:rsid w:val="484F3834"/>
    <w:rsid w:val="486A1208"/>
    <w:rsid w:val="487E3CCE"/>
    <w:rsid w:val="48D144DF"/>
    <w:rsid w:val="4919009C"/>
    <w:rsid w:val="491D7010"/>
    <w:rsid w:val="49F61C6A"/>
    <w:rsid w:val="4A2F0F8F"/>
    <w:rsid w:val="4B21070C"/>
    <w:rsid w:val="4C6D260E"/>
    <w:rsid w:val="4CA65850"/>
    <w:rsid w:val="4D4867BB"/>
    <w:rsid w:val="4D7854C0"/>
    <w:rsid w:val="4E1C022A"/>
    <w:rsid w:val="4E1E1D89"/>
    <w:rsid w:val="4FA771C2"/>
    <w:rsid w:val="4FDC7DDA"/>
    <w:rsid w:val="5003209D"/>
    <w:rsid w:val="508E2B4E"/>
    <w:rsid w:val="524A480D"/>
    <w:rsid w:val="5263348D"/>
    <w:rsid w:val="527E7420"/>
    <w:rsid w:val="5292301A"/>
    <w:rsid w:val="52C10CD7"/>
    <w:rsid w:val="52F64CB8"/>
    <w:rsid w:val="52FB39A7"/>
    <w:rsid w:val="531641E9"/>
    <w:rsid w:val="5446604D"/>
    <w:rsid w:val="547E1AE0"/>
    <w:rsid w:val="54F554AC"/>
    <w:rsid w:val="551A0D5D"/>
    <w:rsid w:val="55EE4C06"/>
    <w:rsid w:val="56102318"/>
    <w:rsid w:val="561A148B"/>
    <w:rsid w:val="565B213D"/>
    <w:rsid w:val="56D444B4"/>
    <w:rsid w:val="572D0183"/>
    <w:rsid w:val="57567F4A"/>
    <w:rsid w:val="57667B7B"/>
    <w:rsid w:val="578D66D2"/>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74DB0"/>
    <w:rsid w:val="5DA41796"/>
    <w:rsid w:val="5DC167D7"/>
    <w:rsid w:val="5E417871"/>
    <w:rsid w:val="5F0E08C6"/>
    <w:rsid w:val="5F5075CA"/>
    <w:rsid w:val="5F7007A2"/>
    <w:rsid w:val="5F85487D"/>
    <w:rsid w:val="5FB650D9"/>
    <w:rsid w:val="6096215E"/>
    <w:rsid w:val="62B86D17"/>
    <w:rsid w:val="62C824CA"/>
    <w:rsid w:val="642A2386"/>
    <w:rsid w:val="643B7CEC"/>
    <w:rsid w:val="64677320"/>
    <w:rsid w:val="653C0392"/>
    <w:rsid w:val="6586792A"/>
    <w:rsid w:val="65DD20B3"/>
    <w:rsid w:val="662C503A"/>
    <w:rsid w:val="66BB543F"/>
    <w:rsid w:val="66C47D68"/>
    <w:rsid w:val="67A45BAF"/>
    <w:rsid w:val="67CF5796"/>
    <w:rsid w:val="6855309E"/>
    <w:rsid w:val="68B23C16"/>
    <w:rsid w:val="69264D03"/>
    <w:rsid w:val="694F76A8"/>
    <w:rsid w:val="69884565"/>
    <w:rsid w:val="69F16575"/>
    <w:rsid w:val="69FE6269"/>
    <w:rsid w:val="6B110ED0"/>
    <w:rsid w:val="6B3D74AC"/>
    <w:rsid w:val="6BF5199F"/>
    <w:rsid w:val="6C81461E"/>
    <w:rsid w:val="6CE610BF"/>
    <w:rsid w:val="6CED312F"/>
    <w:rsid w:val="6D1916FD"/>
    <w:rsid w:val="6D226C43"/>
    <w:rsid w:val="6D535020"/>
    <w:rsid w:val="6DCF5925"/>
    <w:rsid w:val="6E383ABA"/>
    <w:rsid w:val="6E8B493F"/>
    <w:rsid w:val="6EA3545A"/>
    <w:rsid w:val="6F9F7F7D"/>
    <w:rsid w:val="719A4F83"/>
    <w:rsid w:val="71DE50A5"/>
    <w:rsid w:val="722B548E"/>
    <w:rsid w:val="722E4AEA"/>
    <w:rsid w:val="73683978"/>
    <w:rsid w:val="73F43F5E"/>
    <w:rsid w:val="7438150C"/>
    <w:rsid w:val="746F037C"/>
    <w:rsid w:val="74F82EAA"/>
    <w:rsid w:val="75457DB7"/>
    <w:rsid w:val="7563067A"/>
    <w:rsid w:val="75E55D62"/>
    <w:rsid w:val="76466533"/>
    <w:rsid w:val="77F97E1C"/>
    <w:rsid w:val="785111E8"/>
    <w:rsid w:val="78E831F4"/>
    <w:rsid w:val="79AC141B"/>
    <w:rsid w:val="79B51E35"/>
    <w:rsid w:val="79EA27D4"/>
    <w:rsid w:val="7AE23540"/>
    <w:rsid w:val="7C29457B"/>
    <w:rsid w:val="7CE9423F"/>
    <w:rsid w:val="7D9A1A1C"/>
    <w:rsid w:val="7E163DF2"/>
    <w:rsid w:val="7E1D587C"/>
    <w:rsid w:val="7E220861"/>
    <w:rsid w:val="7E9A50CB"/>
    <w:rsid w:val="7EE2433D"/>
    <w:rsid w:val="7EF30A47"/>
    <w:rsid w:val="7F084D0E"/>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afterAutospacing="0"/>
    </w:pPr>
  </w:style>
  <w:style w:type="paragraph" w:styleId="6">
    <w:name w:val="Quote"/>
    <w:basedOn w:val="1"/>
    <w:next w:val="1"/>
    <w:qFormat/>
    <w:uiPriority w:val="0"/>
    <w:rPr>
      <w:i/>
      <w:iCs/>
      <w:color w:val="000000"/>
      <w:szCs w:val="22"/>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FF"/>
      <w:u w:val="single"/>
    </w:rPr>
  </w:style>
  <w:style w:type="character" w:customStyle="1" w:styleId="22">
    <w:name w:val="标题 1 Char"/>
    <w:link w:val="2"/>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9"/>
    <w:qFormat/>
    <w:uiPriority w:val="0"/>
    <w:rPr>
      <w:rFonts w:ascii="Calibri" w:hAnsi="Calibri" w:cs="Calibri"/>
      <w:color w:val="000000"/>
      <w:sz w:val="18"/>
      <w:szCs w:val="18"/>
      <w:u w:val="none"/>
    </w:rPr>
  </w:style>
  <w:style w:type="character" w:customStyle="1" w:styleId="25">
    <w:name w:val="font01"/>
    <w:basedOn w:val="19"/>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表格"/>
    <w:basedOn w:val="1"/>
    <w:qFormat/>
    <w:uiPriority w:val="0"/>
    <w:pPr>
      <w:spacing w:line="400" w:lineRule="exact"/>
    </w:pPr>
    <w:rPr>
      <w:rFonts w:ascii="Times New Roman"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5236</Words>
  <Characters>5390</Characters>
  <Lines>0</Lines>
  <Paragraphs>0</Paragraphs>
  <TotalTime>45</TotalTime>
  <ScaleCrop>false</ScaleCrop>
  <LinksUpToDate>false</LinksUpToDate>
  <CharactersWithSpaces>5586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天哥</cp:lastModifiedBy>
  <cp:lastPrinted>2023-11-29T06:09:00Z</cp:lastPrinted>
  <dcterms:modified xsi:type="dcterms:W3CDTF">2023-11-30T01:35:35Z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C027BFDCF25A4068B1FFDC37AF83C175_13</vt:lpwstr>
  </property>
</Properties>
</file>