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bookmarkStart w:id="16" w:name="_GoBack"/>
      <w:bookmarkEnd w:id="16"/>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8"/>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FF0000"/>
          <w:sz w:val="52"/>
          <w:szCs w:val="52"/>
          <w:lang w:val="en-US" w:eastAsia="zh-CN"/>
        </w:rPr>
        <w:t>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9"/>
        <w:rPr>
          <w:rFonts w:hint="eastAsia" w:ascii="黑体" w:hAnsi="黑体" w:eastAsia="黑体" w:cs="黑体"/>
          <w:sz w:val="32"/>
          <w:szCs w:val="32"/>
          <w:lang w:eastAsia="zh-CN"/>
        </w:rPr>
      </w:pPr>
    </w:p>
    <w:p>
      <w:pPr>
        <w:pStyle w:val="9"/>
        <w:rPr>
          <w:rFonts w:hint="eastAsia" w:ascii="黑体" w:hAnsi="黑体" w:eastAsia="黑体" w:cs="黑体"/>
          <w:sz w:val="32"/>
          <w:szCs w:val="32"/>
          <w:lang w:eastAsia="zh-CN"/>
        </w:rPr>
      </w:pPr>
    </w:p>
    <w:p>
      <w:pPr>
        <w:pStyle w:val="9"/>
        <w:rPr>
          <w:rFonts w:hint="eastAsia" w:ascii="黑体" w:hAnsi="黑体" w:eastAsia="黑体" w:cs="黑体"/>
          <w:sz w:val="32"/>
          <w:szCs w:val="32"/>
          <w:lang w:eastAsia="zh-CN"/>
        </w:rPr>
      </w:pPr>
    </w:p>
    <w:p>
      <w:pPr>
        <w:pStyle w:val="9"/>
        <w:rPr>
          <w:rFonts w:hint="eastAsia" w:ascii="黑体" w:hAnsi="黑体" w:eastAsia="黑体" w:cs="黑体"/>
          <w:sz w:val="32"/>
          <w:szCs w:val="32"/>
          <w:lang w:eastAsia="zh-CN"/>
        </w:rPr>
      </w:pPr>
    </w:p>
    <w:p>
      <w:pPr>
        <w:pStyle w:val="9"/>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土壤环境质量调查</w:t>
      </w:r>
    </w:p>
    <w:p>
      <w:pPr>
        <w:pStyle w:val="8"/>
        <w:rPr>
          <w:rFonts w:hint="eastAsia" w:ascii="黑体" w:hAnsi="黑体" w:eastAsia="黑体" w:cs="黑体"/>
          <w:lang w:val="en-US"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YNCG018</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2023年12月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YNCG018  ，项目包数量：1个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二、项目背景：按照《中华人民共和国土壤污染防治法》、《土壤环境监测技术规范》 (HJ/T 166-2004)等文件要求对乐山市五通桥区人民医院建设项目所用土地展开土壤调查评估工作。该项目整体工程内容及规模为新增占地面积约82亩，新建建筑面积约76000㎡，新建门急诊医技综合楼，住院楼，感染楼，地下室以及其他配套设施、设备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土壤环境质量调查（预算4.9万元）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2023年12月 6日17:00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FF0000"/>
          <w:kern w:val="0"/>
          <w:sz w:val="32"/>
          <w:szCs w:val="32"/>
          <w:lang w:eastAsia="zh-CN"/>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6"/>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color w:val="FF0000"/>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8"/>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8"/>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6"/>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6"/>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5773"/>
      <w:bookmarkStart w:id="1" w:name="_Toc25737"/>
      <w:bookmarkStart w:id="2" w:name="_Toc18458"/>
      <w:bookmarkStart w:id="3" w:name="_Toc9490"/>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2449"/>
      <w:bookmarkStart w:id="5" w:name="_Toc439699516"/>
      <w:bookmarkStart w:id="6" w:name="_Toc17549"/>
      <w:bookmarkStart w:id="7" w:name="_Toc4003"/>
      <w:r>
        <w:rPr>
          <w:rFonts w:hint="eastAsia" w:ascii="黑体" w:hAnsi="黑体" w:eastAsia="黑体" w:cs="黑体"/>
          <w:b/>
          <w:sz w:val="36"/>
          <w:szCs w:val="36"/>
          <w:lang w:val="en-US" w:eastAsia="zh-CN"/>
        </w:rPr>
        <w:t>采购资质要求</w:t>
      </w:r>
    </w:p>
    <w:p>
      <w:pPr>
        <w:pStyle w:val="6"/>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0"/>
        <w:gridCol w:w="103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6</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7</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8</w:t>
            </w:r>
          </w:p>
        </w:tc>
        <w:tc>
          <w:tcPr>
            <w:tcW w:w="3175"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6"/>
        <w:rPr>
          <w:rFonts w:hint="eastAsia" w:ascii="仿宋" w:hAnsi="仿宋" w:eastAsia="仿宋" w:cs="仿宋"/>
          <w:color w:val="auto"/>
          <w:sz w:val="30"/>
          <w:szCs w:val="30"/>
          <w:highlight w:val="none"/>
          <w:lang w:eastAsia="zh-CN"/>
        </w:rPr>
      </w:pPr>
    </w:p>
    <w:p>
      <w:pPr>
        <w:pStyle w:val="7"/>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6"/>
        <w:rPr>
          <w:rFonts w:hint="eastAsia"/>
          <w:lang w:eastAsia="zh-CN"/>
        </w:rPr>
      </w:pPr>
    </w:p>
    <w:p>
      <w:pPr>
        <w:pStyle w:val="6"/>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6"/>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6"/>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6"/>
        <w:adjustRightInd w:val="0"/>
        <w:snapToGrid w:val="0"/>
        <w:spacing w:after="0" w:line="360" w:lineRule="auto"/>
        <w:ind w:firstLine="560" w:firstLineChars="200"/>
        <w:rPr>
          <w:rFonts w:hint="eastAsia" w:ascii="黑体" w:hAnsi="黑体" w:eastAsia="黑体" w:cs="黑体"/>
          <w:sz w:val="28"/>
          <w:szCs w:val="28"/>
          <w:lang w:eastAsia="zh-CN"/>
        </w:rPr>
      </w:pPr>
    </w:p>
    <w:p>
      <w:pPr>
        <w:pStyle w:val="6"/>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99"/>
      <w:bookmarkStart w:id="9" w:name="_Toc439699522"/>
      <w:bookmarkStart w:id="10" w:name="_Toc1800"/>
      <w:bookmarkStart w:id="11" w:name="_Toc24199"/>
      <w:bookmarkStart w:id="12" w:name="_Toc1287"/>
      <w:bookmarkStart w:id="13" w:name="_Toc16184"/>
      <w:bookmarkStart w:id="14" w:name="_Toc12426"/>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6"/>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（一）采购标的</w:t>
      </w:r>
    </w:p>
    <w:tbl>
      <w:tblPr>
        <w:tblStyle w:val="17"/>
        <w:tblW w:w="931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1"/>
        <w:gridCol w:w="1721"/>
        <w:gridCol w:w="1721"/>
        <w:gridCol w:w="2435"/>
        <w:gridCol w:w="17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2" w:hRule="atLeast"/>
          <w:jc w:val="center"/>
        </w:trPr>
        <w:tc>
          <w:tcPr>
            <w:tcW w:w="1721" w:type="dxa"/>
            <w:noWrap w:val="0"/>
            <w:vAlign w:val="center"/>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w:t>
            </w:r>
          </w:p>
        </w:tc>
        <w:tc>
          <w:tcPr>
            <w:tcW w:w="1721" w:type="dxa"/>
            <w:noWrap w:val="0"/>
            <w:vAlign w:val="center"/>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标的名称</w:t>
            </w:r>
          </w:p>
        </w:tc>
        <w:tc>
          <w:tcPr>
            <w:tcW w:w="1721" w:type="dxa"/>
            <w:noWrap w:val="0"/>
            <w:vAlign w:val="center"/>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w:t>
            </w:r>
          </w:p>
        </w:tc>
        <w:tc>
          <w:tcPr>
            <w:tcW w:w="2435" w:type="dxa"/>
            <w:noWrap w:val="0"/>
            <w:vAlign w:val="center"/>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标的金额 （元）</w:t>
            </w:r>
          </w:p>
        </w:tc>
        <w:tc>
          <w:tcPr>
            <w:tcW w:w="1721" w:type="dxa"/>
            <w:noWrap w:val="0"/>
            <w:vAlign w:val="center"/>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计量单位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6" w:hRule="atLeast"/>
          <w:jc w:val="center"/>
        </w:trPr>
        <w:tc>
          <w:tcPr>
            <w:tcW w:w="1721" w:type="dxa"/>
            <w:noWrap w:val="0"/>
            <w:vAlign w:val="center"/>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1721" w:type="dxa"/>
            <w:noWrap w:val="0"/>
            <w:vAlign w:val="center"/>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土壤环境质量调查</w:t>
            </w:r>
          </w:p>
        </w:tc>
        <w:tc>
          <w:tcPr>
            <w:tcW w:w="1721" w:type="dxa"/>
            <w:noWrap w:val="0"/>
            <w:vAlign w:val="center"/>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2435" w:type="dxa"/>
            <w:noWrap w:val="0"/>
            <w:vAlign w:val="center"/>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49000</w:t>
            </w:r>
          </w:p>
        </w:tc>
        <w:tc>
          <w:tcPr>
            <w:tcW w:w="1721" w:type="dxa"/>
            <w:noWrap w:val="0"/>
            <w:vAlign w:val="center"/>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w:t>
            </w:r>
          </w:p>
        </w:tc>
      </w:tr>
    </w:tbl>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（二）项目范围</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项目调查范围为乐山市五通桥区人民医院新建地址上，约82亩。</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（三）服务内容</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1.明确项目编制背景，了解项目建设现状，在项目所在地(工程现场)进行采点、照相,充分了解项目红线内水土情况和地形地貌,结合设计方案,对项目土地情况进行深入了解。</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通过资料收集、现场踏勘、人员访谈、采样监测、数据统计、分析评价、报告编制等工作，分析整理项目区域的基本情况、历史监测概况等，识别重点区域的污染物来源及可能存在的污染物类型，科学布置调查监测方案并按照相关规范要求完成采样及检测分析，根据监测数据评估各重点区域的土壤环境质量现状，编制符合国家现行的方针、政策、法律、法规的《五通桥区人民医院整体搬迁项目土壤环境质量初步调查报告》。</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（四）质量要求及标准</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严格按《土壤环境监测技术规范》 (HJ/T 166-2004) 、《建设用地土壤污染风险评估技术导则》 (HJ 25.3-2019)、《土壤环境质量 农用地土壤污染风险管控标准(试行)》 (GB 15618-2018)、《土壤环境质量 建设用地土壤污染风险管控标准(试行) 》 (GB 36600-2018）等标准规范要求开展调查评估工作。监测内容应符合专家和行政部门的要求。</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（五）服务方案要求</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为保障本项目环境评估工作正常开展，供应商须为本项目制定服务实施和保障方案，包括但不限于以下：</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项目实施与保障方案：</w:t>
      </w:r>
      <w:r>
        <w:rPr>
          <w:rFonts w:hint="default" w:ascii="仿宋" w:hAnsi="仿宋" w:eastAsia="仿宋" w:cs="仿宋"/>
          <w:sz w:val="32"/>
          <w:szCs w:val="32"/>
          <w:lang w:val="zh-CN" w:eastAsia="zh-CN"/>
        </w:rPr>
        <w:t>①</w:t>
      </w:r>
      <w:r>
        <w:rPr>
          <w:rFonts w:hint="eastAsia" w:ascii="仿宋" w:hAnsi="仿宋" w:eastAsia="仿宋" w:cs="仿宋"/>
          <w:sz w:val="32"/>
          <w:szCs w:val="32"/>
          <w:lang w:val="zh-CN" w:eastAsia="zh-CN"/>
        </w:rPr>
        <w:t>项目周期及进度安排</w:t>
      </w:r>
      <w:r>
        <w:rPr>
          <w:rFonts w:hint="eastAsia" w:ascii="仿宋" w:hAnsi="仿宋" w:eastAsia="仿宋" w:cs="仿宋"/>
          <w:sz w:val="32"/>
          <w:szCs w:val="32"/>
          <w:lang w:val="en-US" w:eastAsia="zh-CN"/>
        </w:rPr>
        <w:t>计划</w:t>
      </w:r>
      <w:r>
        <w:rPr>
          <w:rFonts w:hint="eastAsia" w:ascii="仿宋" w:hAnsi="仿宋" w:eastAsia="仿宋" w:cs="仿宋"/>
          <w:sz w:val="32"/>
          <w:szCs w:val="32"/>
          <w:lang w:val="zh-CN" w:eastAsia="zh-CN"/>
        </w:rPr>
        <w:t>；②</w:t>
      </w:r>
      <w:r>
        <w:rPr>
          <w:rFonts w:hint="eastAsia" w:ascii="仿宋" w:hAnsi="仿宋" w:eastAsia="仿宋" w:cs="仿宋"/>
          <w:sz w:val="32"/>
          <w:szCs w:val="32"/>
          <w:lang w:val="en-US" w:eastAsia="zh-CN"/>
        </w:rPr>
        <w:t>前期准备工作开展及计划方案；</w:t>
      </w:r>
      <w:r>
        <w:rPr>
          <w:rFonts w:hint="default" w:ascii="仿宋" w:hAnsi="仿宋" w:eastAsia="仿宋" w:cs="仿宋"/>
          <w:sz w:val="32"/>
          <w:szCs w:val="32"/>
          <w:lang w:val="zh-CN" w:eastAsia="zh-CN"/>
        </w:rPr>
        <w:t>③</w:t>
      </w:r>
      <w:r>
        <w:rPr>
          <w:rFonts w:hint="eastAsia" w:ascii="仿宋" w:hAnsi="仿宋" w:eastAsia="仿宋" w:cs="仿宋"/>
          <w:sz w:val="32"/>
          <w:szCs w:val="32"/>
          <w:lang w:val="en-US" w:eastAsia="zh-CN"/>
        </w:rPr>
        <w:t>调查采样监测实施方案；</w:t>
      </w:r>
      <w:r>
        <w:rPr>
          <w:rFonts w:hint="eastAsia" w:ascii="仿宋" w:hAnsi="仿宋" w:eastAsia="仿宋" w:cs="仿宋"/>
          <w:sz w:val="32"/>
          <w:szCs w:val="32"/>
          <w:lang w:val="zh-CN" w:eastAsia="zh-CN"/>
        </w:rPr>
        <w:t>④重点难点的分析与解决方案；⑤服务质量保障</w:t>
      </w:r>
      <w:r>
        <w:rPr>
          <w:rFonts w:hint="eastAsia" w:ascii="仿宋" w:hAnsi="仿宋" w:eastAsia="仿宋" w:cs="仿宋"/>
          <w:sz w:val="32"/>
          <w:szCs w:val="32"/>
          <w:lang w:val="en-US" w:eastAsia="zh-CN"/>
        </w:rPr>
        <w:t>措施；</w:t>
      </w:r>
      <w:r>
        <w:rPr>
          <w:rFonts w:hint="eastAsia" w:ascii="仿宋" w:hAnsi="仿宋" w:eastAsia="仿宋" w:cs="仿宋"/>
          <w:sz w:val="32"/>
          <w:szCs w:val="32"/>
          <w:lang w:val="zh-CN" w:eastAsia="zh-CN"/>
        </w:rPr>
        <w:t>⑥</w:t>
      </w:r>
      <w:r>
        <w:rPr>
          <w:rFonts w:hint="eastAsia" w:ascii="仿宋" w:hAnsi="仿宋" w:eastAsia="仿宋" w:cs="仿宋"/>
          <w:sz w:val="32"/>
          <w:szCs w:val="32"/>
          <w:lang w:val="en-US" w:eastAsia="zh-CN"/>
        </w:rPr>
        <w:t>调查报告编制方案；⑦项目数量保密措施</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⑧应急预案措施；</w:t>
      </w:r>
      <w:r>
        <w:rPr>
          <w:rFonts w:hint="eastAsia" w:ascii="仿宋" w:hAnsi="仿宋" w:eastAsia="仿宋" w:cs="仿宋"/>
          <w:sz w:val="32"/>
          <w:szCs w:val="32"/>
          <w:lang w:val="zh-CN" w:eastAsia="zh-CN"/>
        </w:rPr>
        <w:t>⑨后续</w:t>
      </w:r>
      <w:r>
        <w:rPr>
          <w:rFonts w:hint="eastAsia" w:ascii="仿宋" w:hAnsi="仿宋" w:eastAsia="仿宋" w:cs="仿宋"/>
          <w:sz w:val="32"/>
          <w:szCs w:val="32"/>
          <w:lang w:val="en-US" w:eastAsia="zh-CN"/>
        </w:rPr>
        <w:t>跟踪服务</w:t>
      </w:r>
      <w:r>
        <w:rPr>
          <w:rFonts w:hint="eastAsia" w:ascii="仿宋" w:hAnsi="仿宋" w:eastAsia="仿宋" w:cs="仿宋"/>
          <w:sz w:val="32"/>
          <w:szCs w:val="32"/>
          <w:lang w:val="zh-CN" w:eastAsia="zh-CN"/>
        </w:rPr>
        <w:t>措施</w:t>
      </w:r>
      <w:r>
        <w:rPr>
          <w:rFonts w:hint="eastAsia" w:ascii="仿宋" w:hAnsi="仿宋" w:eastAsia="仿宋" w:cs="仿宋"/>
          <w:sz w:val="32"/>
          <w:szCs w:val="32"/>
          <w:lang w:val="en-US" w:eastAsia="zh-CN"/>
        </w:rPr>
        <w:t>等。</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本项目服务方案要求不作为实质性要求，仅作为评审因素，供应商应当根据实际情况提供真实、客观的证明材料。</w:t>
      </w: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Theme="minorEastAsia" w:hAnsiTheme="minorEastAsia" w:eastAsiaTheme="minorEastAsia" w:cstheme="minorEastAsia"/>
          <w:sz w:val="24"/>
          <w:szCs w:val="22"/>
        </w:rPr>
      </w:pPr>
      <w:r>
        <w:rPr>
          <w:rFonts w:hint="eastAsia" w:ascii="仿宋" w:hAnsi="仿宋" w:eastAsia="仿宋" w:cs="仿宋"/>
          <w:sz w:val="32"/>
          <w:szCs w:val="32"/>
          <w:lang w:val="en-US" w:eastAsia="zh-CN"/>
        </w:rPr>
        <w:t>商务要求：</w:t>
      </w:r>
    </w:p>
    <w:p>
      <w:pPr>
        <w:pStyle w:val="16"/>
        <w:numPr>
          <w:ilvl w:val="0"/>
          <w:numId w:val="0"/>
        </w:numPr>
        <w:spacing w:line="240" w:lineRule="auto"/>
        <w:ind w:left="63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1.服务时间：20日内，即在2023年12月底完成本项目所有工作并通过相关专业专家评审后提交项目成果。</w:t>
      </w:r>
    </w:p>
    <w:p>
      <w:pPr>
        <w:pStyle w:val="16"/>
        <w:numPr>
          <w:ilvl w:val="0"/>
          <w:numId w:val="0"/>
        </w:numPr>
        <w:spacing w:line="240" w:lineRule="auto"/>
        <w:ind w:left="63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2.服务要求：供应商完成调查报告并提交相关部门备案。</w:t>
      </w:r>
    </w:p>
    <w:p>
      <w:pPr>
        <w:pStyle w:val="16"/>
        <w:numPr>
          <w:ilvl w:val="0"/>
          <w:numId w:val="0"/>
        </w:numPr>
        <w:spacing w:line="24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3.验收标准：按国家有关规定以及采购文件的质量要求和技术指标、成交供应商的响应文件及承诺与合同约定标准进行验收</w:t>
      </w:r>
    </w:p>
    <w:p>
      <w:pPr>
        <w:pStyle w:val="16"/>
        <w:numPr>
          <w:ilvl w:val="0"/>
          <w:numId w:val="0"/>
        </w:numPr>
        <w:spacing w:line="240" w:lineRule="auto"/>
        <w:ind w:left="-8" w:leftChars="-4"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3.付款方式：完成项目验收合格并向相关部门备案后30日内支付合同全款。注：服务费用支付前供应商应向采购人提供等额的发票。</w:t>
      </w:r>
    </w:p>
    <w:p>
      <w:pPr>
        <w:pStyle w:val="16"/>
        <w:numPr>
          <w:ilvl w:val="0"/>
          <w:numId w:val="0"/>
        </w:numPr>
        <w:spacing w:line="240" w:lineRule="auto"/>
        <w:ind w:left="-8" w:leftChars="-4"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4.知识产权要求：采购人享有永久使用权（含采购人委托第三方在该项目后续开发的使用权）。如我方在项目实施过程中采用非自有的知识产权，则在投标报价中已包括合法获取该知识产权的相关费用。</w:t>
      </w:r>
    </w:p>
    <w:p>
      <w:pPr>
        <w:pStyle w:val="16"/>
        <w:numPr>
          <w:ilvl w:val="0"/>
          <w:numId w:val="0"/>
        </w:numPr>
        <w:spacing w:line="240" w:lineRule="auto"/>
        <w:ind w:left="44" w:leftChars="21"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如因成交供应商工作人员在履行职务过程中的疏忽、失职、过错等故意或者过失原因给采购人造成损失或侵害，成交供应商对此均应承担赔偿责任。违约责任及解决争议的方法：合同履行期间，若双方发生争议，可协商或由有关部门协调解决，协商或协调不成功的，双方均可向五通桥区人民法院提起诉讼依法维护其合法权益。</w:t>
      </w:r>
    </w:p>
    <w:p>
      <w:pPr>
        <w:pStyle w:val="16"/>
        <w:numPr>
          <w:ilvl w:val="0"/>
          <w:numId w:val="0"/>
        </w:numPr>
        <w:spacing w:line="240" w:lineRule="auto"/>
        <w:ind w:left="63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6.其他要求：</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成交供应商位应接受采购人及其他相关部门的指导、督导，并在项目实施过程中根据最新要求，完善工作内容。</w:t>
      </w:r>
    </w:p>
    <w:p>
      <w:pPr>
        <w:pStyle w:val="16"/>
        <w:numPr>
          <w:ilvl w:val="0"/>
          <w:numId w:val="0"/>
        </w:numPr>
        <w:spacing w:line="240" w:lineRule="auto"/>
        <w:ind w:left="86" w:leftChars="41" w:firstLine="544" w:firstLineChars="1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成交供应商应积极配合采购人开展资料上报、修改完善及其他相关部门的验收工作。</w:t>
      </w:r>
    </w:p>
    <w:p>
      <w:pPr>
        <w:pStyle w:val="16"/>
        <w:numPr>
          <w:ilvl w:val="0"/>
          <w:numId w:val="0"/>
        </w:numPr>
        <w:spacing w:line="240" w:lineRule="auto"/>
        <w:ind w:left="86" w:leftChars="41" w:firstLine="694" w:firstLineChars="21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成交供应商在项目执行过程中定期及时向采购人通告本项目服务的重大事项及其进度。</w:t>
      </w:r>
    </w:p>
    <w:p>
      <w:pPr>
        <w:pStyle w:val="16"/>
        <w:numPr>
          <w:ilvl w:val="0"/>
          <w:numId w:val="0"/>
        </w:numPr>
        <w:spacing w:line="240" w:lineRule="auto"/>
        <w:ind w:left="143" w:leftChars="68"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保密要求：成交供应商参与本项目的工作人员严格遵守《档案法》、《保密法》及其他有关法规，严防失密、泄密现象发生。未经采购人同意不得向第三方泄漏任何与本项目业务有关的数据资料。</w:t>
      </w:r>
    </w:p>
    <w:p>
      <w:pPr>
        <w:pStyle w:val="16"/>
        <w:numPr>
          <w:ilvl w:val="0"/>
          <w:numId w:val="0"/>
        </w:numPr>
        <w:spacing w:line="240" w:lineRule="auto"/>
        <w:ind w:left="210" w:leftChars="1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为固定总价包干合同，包括完成以上服务内容的报价，以及所涉及货物、人员劳务、差旅、设备投入、专家评审费及与评审相关的差旅、住宿、交通、餐费等费用、保险费、风险、税金、利润、采购代理服务费及竞争性磋商文件规定的其它费用。</w:t>
      </w:r>
    </w:p>
    <w:p>
      <w:pPr>
        <w:pStyle w:val="16"/>
        <w:numPr>
          <w:ilvl w:val="0"/>
          <w:numId w:val="0"/>
        </w:numPr>
        <w:spacing w:line="240" w:lineRule="auto"/>
        <w:ind w:left="630" w:leftChars="0"/>
        <w:rPr>
          <w:rFonts w:hint="eastAsia" w:ascii="仿宋" w:hAnsi="仿宋" w:eastAsia="仿宋" w:cs="仿宋"/>
          <w:sz w:val="32"/>
          <w:szCs w:val="32"/>
          <w:lang w:val="en-US" w:eastAsia="zh-CN"/>
        </w:rPr>
      </w:pPr>
    </w:p>
    <w:p>
      <w:pPr>
        <w:rPr>
          <w:rFonts w:hint="eastAsia" w:ascii="黑体" w:hAnsi="黑体" w:eastAsia="黑体" w:cs="黑体"/>
          <w:lang w:eastAsia="zh-CN"/>
        </w:rPr>
      </w:pPr>
    </w:p>
    <w:p>
      <w:pPr>
        <w:pStyle w:val="4"/>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16"/>
        <w:rPr>
          <w:rFonts w:hint="eastAsia" w:ascii="黑体" w:hAnsi="黑体" w:eastAsia="黑体" w:cs="黑体"/>
          <w:lang w:eastAsia="zh-CN"/>
        </w:rPr>
      </w:pPr>
    </w:p>
    <w:p>
      <w:pPr>
        <w:pStyle w:val="6"/>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10478" w:type="dxa"/>
        <w:jc w:val="center"/>
        <w:tblLayout w:type="fixed"/>
        <w:tblCellMar>
          <w:top w:w="0" w:type="dxa"/>
          <w:left w:w="108" w:type="dxa"/>
          <w:bottom w:w="0" w:type="dxa"/>
          <w:right w:w="108" w:type="dxa"/>
        </w:tblCellMar>
      </w:tblPr>
      <w:tblGrid>
        <w:gridCol w:w="714"/>
        <w:gridCol w:w="1148"/>
        <w:gridCol w:w="712"/>
        <w:gridCol w:w="5606"/>
        <w:gridCol w:w="1289"/>
        <w:gridCol w:w="1009"/>
      </w:tblGrid>
      <w:tr>
        <w:tblPrEx>
          <w:tblCellMar>
            <w:top w:w="0" w:type="dxa"/>
            <w:left w:w="108" w:type="dxa"/>
            <w:bottom w:w="0" w:type="dxa"/>
            <w:right w:w="108" w:type="dxa"/>
          </w:tblCellMar>
        </w:tblPrEx>
        <w:trPr>
          <w:trHeight w:val="725" w:hRule="atLeast"/>
          <w:jc w:val="center"/>
        </w:trPr>
        <w:tc>
          <w:tcPr>
            <w:tcW w:w="714" w:type="dxa"/>
            <w:tcBorders>
              <w:top w:val="single" w:color="auto" w:sz="8"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148" w:type="dxa"/>
            <w:tcBorders>
              <w:top w:val="single" w:color="auto" w:sz="8"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评分因素及权值</w:t>
            </w:r>
          </w:p>
        </w:tc>
        <w:tc>
          <w:tcPr>
            <w:tcW w:w="712" w:type="dxa"/>
            <w:tcBorders>
              <w:top w:val="single" w:color="auto" w:sz="8" w:space="0"/>
              <w:left w:val="single" w:color="auto" w:sz="4"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分　值</w:t>
            </w:r>
          </w:p>
        </w:tc>
        <w:tc>
          <w:tcPr>
            <w:tcW w:w="5606" w:type="dxa"/>
            <w:tcBorders>
              <w:top w:val="single" w:color="auto" w:sz="8"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评分标准</w:t>
            </w:r>
          </w:p>
        </w:tc>
        <w:tc>
          <w:tcPr>
            <w:tcW w:w="1289" w:type="dxa"/>
            <w:tcBorders>
              <w:top w:val="single" w:color="auto" w:sz="8"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    明</w:t>
            </w:r>
          </w:p>
        </w:tc>
        <w:tc>
          <w:tcPr>
            <w:tcW w:w="1009" w:type="dxa"/>
            <w:tcBorders>
              <w:top w:val="single" w:color="auto" w:sz="8"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备注</w:t>
            </w:r>
          </w:p>
        </w:tc>
      </w:tr>
      <w:tr>
        <w:tblPrEx>
          <w:tblCellMar>
            <w:top w:w="0" w:type="dxa"/>
            <w:left w:w="108" w:type="dxa"/>
            <w:bottom w:w="0" w:type="dxa"/>
            <w:right w:w="108" w:type="dxa"/>
          </w:tblCellMar>
        </w:tblPrEx>
        <w:trPr>
          <w:trHeight w:val="776" w:hRule="atLeast"/>
          <w:jc w:val="center"/>
        </w:trPr>
        <w:tc>
          <w:tcPr>
            <w:tcW w:w="714" w:type="dxa"/>
            <w:tcBorders>
              <w:top w:val="nil"/>
              <w:left w:val="single" w:color="auto" w:sz="8" w:space="0"/>
              <w:bottom w:val="single" w:color="000000" w:sz="8"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48" w:type="dxa"/>
            <w:tcBorders>
              <w:top w:val="single" w:color="auto" w:sz="4" w:space="0"/>
              <w:left w:val="single" w:color="auto" w:sz="8" w:space="0"/>
              <w:bottom w:val="single" w:color="000000" w:sz="8"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w:t>
            </w:r>
          </w:p>
        </w:tc>
        <w:tc>
          <w:tcPr>
            <w:tcW w:w="712"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分</w:t>
            </w:r>
          </w:p>
        </w:tc>
        <w:tc>
          <w:tcPr>
            <w:tcW w:w="5606" w:type="dxa"/>
            <w:tcBorders>
              <w:top w:val="nil"/>
              <w:left w:val="nil"/>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综合评分法中的价格分统一采用低价优先法计算，即满足磋商文件要求且最后报价最低的供应商的价格为磋商基准价，其价格分为满分。其他供应商的价格分统一按照下列公式计算：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价得分=(基准价／最后报价)×价格权值×100</w:t>
            </w:r>
          </w:p>
        </w:tc>
        <w:tc>
          <w:tcPr>
            <w:tcW w:w="1289" w:type="dxa"/>
            <w:tcBorders>
              <w:top w:val="nil"/>
              <w:left w:val="nil"/>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009" w:type="dxa"/>
            <w:tcBorders>
              <w:top w:val="nil"/>
              <w:left w:val="nil"/>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共同评分因素</w:t>
            </w:r>
          </w:p>
        </w:tc>
      </w:tr>
      <w:tr>
        <w:tblPrEx>
          <w:tblCellMar>
            <w:top w:w="0" w:type="dxa"/>
            <w:left w:w="108" w:type="dxa"/>
            <w:bottom w:w="0" w:type="dxa"/>
            <w:right w:w="108" w:type="dxa"/>
          </w:tblCellMar>
        </w:tblPrEx>
        <w:trPr>
          <w:trHeight w:val="1562" w:hRule="atLeast"/>
          <w:jc w:val="center"/>
        </w:trPr>
        <w:tc>
          <w:tcPr>
            <w:tcW w:w="714" w:type="dxa"/>
            <w:tcBorders>
              <w:top w:val="nil"/>
              <w:left w:val="single" w:color="auto" w:sz="8" w:space="0"/>
              <w:bottom w:val="single" w:color="000000" w:sz="8"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4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方案</w:t>
            </w:r>
            <w:r>
              <w:rPr>
                <w:rFonts w:hint="eastAsia" w:asciiTheme="minorEastAsia" w:hAnsiTheme="minorEastAsia" w:eastAsiaTheme="minorEastAsia" w:cstheme="minorEastAsia"/>
                <w:color w:val="auto"/>
                <w:sz w:val="24"/>
                <w:szCs w:val="24"/>
                <w:lang w:val="en-US" w:eastAsia="zh-CN"/>
              </w:rPr>
              <w:t>45</w:t>
            </w:r>
            <w:r>
              <w:rPr>
                <w:rFonts w:hint="eastAsia" w:asciiTheme="minorEastAsia" w:hAnsiTheme="minorEastAsia" w:eastAsiaTheme="minorEastAsia" w:cstheme="minorEastAsia"/>
                <w:color w:val="auto"/>
                <w:sz w:val="24"/>
                <w:szCs w:val="24"/>
              </w:rPr>
              <w:t>%</w:t>
            </w:r>
          </w:p>
        </w:tc>
        <w:tc>
          <w:tcPr>
            <w:tcW w:w="712"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45</w:t>
            </w:r>
            <w:r>
              <w:rPr>
                <w:rFonts w:hint="eastAsia" w:asciiTheme="minorEastAsia" w:hAnsiTheme="minorEastAsia" w:eastAsiaTheme="minorEastAsia" w:cstheme="minorEastAsia"/>
                <w:color w:val="auto"/>
                <w:sz w:val="24"/>
                <w:szCs w:val="24"/>
              </w:rPr>
              <w:t>分</w:t>
            </w:r>
          </w:p>
        </w:tc>
        <w:tc>
          <w:tcPr>
            <w:tcW w:w="5606" w:type="dxa"/>
            <w:tcBorders>
              <w:top w:val="single" w:color="auto" w:sz="4" w:space="0"/>
              <w:left w:val="single" w:color="auto" w:sz="8" w:space="0"/>
              <w:bottom w:val="single" w:color="000000" w:sz="8" w:space="0"/>
              <w:right w:val="single" w:color="auto" w:sz="8" w:space="0"/>
            </w:tcBorders>
            <w:noWrap/>
          </w:tcPr>
          <w:p>
            <w:pPr>
              <w:keepNext w:val="0"/>
              <w:keepLines w:val="0"/>
              <w:pageBreakBefore w:val="0"/>
              <w:widowControl w:val="0"/>
              <w:kinsoku/>
              <w:wordWrap/>
              <w:overflowPunct/>
              <w:topLinePunct w:val="0"/>
              <w:autoSpaceDE/>
              <w:autoSpaceDN/>
              <w:bidi w:val="0"/>
              <w:adjustRightInd/>
              <w:snapToGrid w:val="0"/>
              <w:spacing w:beforeAutospacing="0" w:line="360" w:lineRule="auto"/>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根据供应商针对本项目</w:t>
            </w:r>
            <w:r>
              <w:rPr>
                <w:rFonts w:hint="eastAsia" w:asciiTheme="minorEastAsia" w:hAnsiTheme="minorEastAsia" w:eastAsiaTheme="minorEastAsia" w:cstheme="minorEastAsia"/>
                <w:kern w:val="2"/>
                <w:sz w:val="24"/>
                <w:szCs w:val="24"/>
                <w:lang w:val="en-US" w:eastAsia="zh-CN"/>
              </w:rPr>
              <w:t>提供的</w:t>
            </w:r>
            <w:r>
              <w:rPr>
                <w:rFonts w:hint="eastAsia" w:asciiTheme="minorEastAsia" w:hAnsiTheme="minorEastAsia" w:eastAsiaTheme="minorEastAsia" w:cstheme="minorEastAsia"/>
                <w:sz w:val="24"/>
                <w:szCs w:val="24"/>
              </w:rPr>
              <w:t>服务方案</w:t>
            </w:r>
          </w:p>
          <w:p>
            <w:pPr>
              <w:keepNext w:val="0"/>
              <w:keepLines w:val="0"/>
              <w:pageBreakBefore w:val="0"/>
              <w:widowControl w:val="0"/>
              <w:kinsoku/>
              <w:wordWrap/>
              <w:overflowPunct/>
              <w:topLinePunct w:val="0"/>
              <w:autoSpaceDE/>
              <w:autoSpaceDN/>
              <w:bidi w:val="0"/>
              <w:adjustRightInd/>
              <w:snapToGrid w:val="0"/>
              <w:spacing w:beforeAutospacing="0" w:line="36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kern w:val="2"/>
                <w:sz w:val="24"/>
                <w:szCs w:val="24"/>
              </w:rPr>
              <w:t>进行</w:t>
            </w:r>
            <w:r>
              <w:rPr>
                <w:rFonts w:hint="eastAsia" w:asciiTheme="minorEastAsia" w:hAnsiTheme="minorEastAsia" w:eastAsiaTheme="minorEastAsia" w:cstheme="minorEastAsia"/>
                <w:kern w:val="2"/>
                <w:sz w:val="24"/>
                <w:szCs w:val="24"/>
                <w:lang w:val="en-US" w:eastAsia="zh-CN"/>
              </w:rPr>
              <w:t>评审</w:t>
            </w:r>
            <w:r>
              <w:rPr>
                <w:rFonts w:hint="eastAsia" w:asciiTheme="minorEastAsia" w:hAnsiTheme="minorEastAsia" w:eastAsiaTheme="minorEastAsia" w:cstheme="minorEastAsia"/>
                <w:kern w:val="2"/>
                <w:sz w:val="24"/>
                <w:szCs w:val="24"/>
              </w:rPr>
              <w:t>，服务方案包括但不限于：</w:t>
            </w:r>
            <w:r>
              <w:rPr>
                <w:rFonts w:hint="default" w:asciiTheme="minorEastAsia" w:hAnsiTheme="minorEastAsia" w:eastAsiaTheme="minorEastAsia" w:cstheme="minorEastAsia"/>
                <w:kern w:val="2"/>
                <w:sz w:val="24"/>
                <w:szCs w:val="24"/>
                <w:lang w:val="zh-CN"/>
              </w:rPr>
              <w:t>①</w:t>
            </w:r>
            <w:r>
              <w:rPr>
                <w:rFonts w:hint="eastAsia" w:asciiTheme="minorEastAsia" w:hAnsiTheme="minorEastAsia" w:eastAsiaTheme="minorEastAsia" w:cstheme="minorEastAsia"/>
                <w:kern w:val="2"/>
                <w:sz w:val="24"/>
                <w:szCs w:val="24"/>
                <w:lang w:val="zh-CN"/>
              </w:rPr>
              <w:t>项目周期及进度安排</w:t>
            </w:r>
            <w:r>
              <w:rPr>
                <w:rFonts w:hint="eastAsia" w:asciiTheme="minorEastAsia" w:hAnsiTheme="minorEastAsia" w:eastAsiaTheme="minorEastAsia" w:cstheme="minorEastAsia"/>
                <w:kern w:val="2"/>
                <w:sz w:val="24"/>
                <w:szCs w:val="24"/>
                <w:lang w:val="en-US" w:eastAsia="zh-CN"/>
              </w:rPr>
              <w:t>计划</w:t>
            </w:r>
            <w:r>
              <w:rPr>
                <w:rFonts w:hint="eastAsia" w:asciiTheme="minorEastAsia" w:hAnsiTheme="minorEastAsia" w:eastAsiaTheme="minorEastAsia" w:cstheme="minorEastAsia"/>
                <w:kern w:val="2"/>
                <w:sz w:val="24"/>
                <w:szCs w:val="24"/>
                <w:lang w:val="zh-CN"/>
              </w:rPr>
              <w:t>；②</w:t>
            </w:r>
            <w:r>
              <w:rPr>
                <w:rFonts w:hint="eastAsia" w:asciiTheme="minorEastAsia" w:hAnsiTheme="minorEastAsia" w:eastAsiaTheme="minorEastAsia" w:cstheme="minorEastAsia"/>
                <w:kern w:val="2"/>
                <w:sz w:val="24"/>
                <w:szCs w:val="24"/>
                <w:lang w:val="en-US" w:eastAsia="zh-CN"/>
              </w:rPr>
              <w:t>前期准备工作开展及计划方案；</w:t>
            </w:r>
            <w:r>
              <w:rPr>
                <w:rFonts w:hint="default" w:asciiTheme="minorEastAsia" w:hAnsiTheme="minorEastAsia" w:eastAsiaTheme="minorEastAsia" w:cstheme="minorEastAsia"/>
                <w:kern w:val="2"/>
                <w:sz w:val="24"/>
                <w:szCs w:val="24"/>
                <w:lang w:val="zh-CN"/>
              </w:rPr>
              <w:t>③</w:t>
            </w:r>
            <w:r>
              <w:rPr>
                <w:rFonts w:hint="eastAsia" w:asciiTheme="minorEastAsia" w:hAnsiTheme="minorEastAsia" w:eastAsiaTheme="minorEastAsia" w:cstheme="minorEastAsia"/>
                <w:kern w:val="2"/>
                <w:sz w:val="24"/>
                <w:szCs w:val="24"/>
                <w:lang w:val="en-US" w:eastAsia="zh-CN"/>
              </w:rPr>
              <w:t>调查采样监测实施方案；</w:t>
            </w:r>
            <w:r>
              <w:rPr>
                <w:rFonts w:hint="eastAsia" w:asciiTheme="minorEastAsia" w:hAnsiTheme="minorEastAsia" w:eastAsiaTheme="minorEastAsia" w:cstheme="minorEastAsia"/>
                <w:kern w:val="2"/>
                <w:sz w:val="24"/>
                <w:szCs w:val="24"/>
                <w:lang w:val="zh-CN"/>
              </w:rPr>
              <w:t>④</w:t>
            </w:r>
            <w:r>
              <w:rPr>
                <w:rFonts w:hint="eastAsia" w:asciiTheme="minorEastAsia" w:hAnsiTheme="minorEastAsia" w:eastAsiaTheme="minorEastAsia" w:cstheme="minorEastAsia"/>
                <w:kern w:val="2"/>
                <w:sz w:val="24"/>
                <w:szCs w:val="24"/>
                <w:lang w:val="zh-CN" w:eastAsia="zh-CN"/>
              </w:rPr>
              <w:t>重点难点的分析与解决方案</w:t>
            </w:r>
            <w:r>
              <w:rPr>
                <w:rFonts w:hint="eastAsia" w:asciiTheme="minorEastAsia" w:hAnsiTheme="minorEastAsia" w:eastAsiaTheme="minorEastAsia" w:cstheme="minorEastAsia"/>
                <w:kern w:val="2"/>
                <w:sz w:val="24"/>
                <w:szCs w:val="24"/>
                <w:lang w:val="zh-CN"/>
              </w:rPr>
              <w:t>；⑤服务质量保障</w:t>
            </w:r>
            <w:r>
              <w:rPr>
                <w:rFonts w:hint="eastAsia" w:asciiTheme="minorEastAsia" w:hAnsiTheme="minorEastAsia" w:eastAsiaTheme="minorEastAsia" w:cstheme="minorEastAsia"/>
                <w:kern w:val="2"/>
                <w:sz w:val="24"/>
                <w:szCs w:val="24"/>
                <w:lang w:val="en-US" w:eastAsia="zh-CN"/>
              </w:rPr>
              <w:t>措施；</w:t>
            </w:r>
            <w:r>
              <w:rPr>
                <w:rFonts w:hint="eastAsia" w:asciiTheme="minorEastAsia" w:hAnsiTheme="minorEastAsia" w:eastAsiaTheme="minorEastAsia" w:cstheme="minorEastAsia"/>
                <w:kern w:val="2"/>
                <w:sz w:val="24"/>
                <w:szCs w:val="24"/>
                <w:lang w:val="zh-CN"/>
              </w:rPr>
              <w:t>⑥</w:t>
            </w:r>
            <w:r>
              <w:rPr>
                <w:rFonts w:hint="eastAsia" w:asciiTheme="minorEastAsia" w:hAnsiTheme="minorEastAsia" w:eastAsiaTheme="minorEastAsia" w:cstheme="minorEastAsia"/>
                <w:kern w:val="2"/>
                <w:sz w:val="24"/>
                <w:szCs w:val="24"/>
                <w:lang w:val="en-US" w:eastAsia="zh-CN"/>
              </w:rPr>
              <w:t>调查报告编制方案；⑦项目数量保密措施</w:t>
            </w:r>
            <w:r>
              <w:rPr>
                <w:rFonts w:hint="eastAsia" w:asciiTheme="minorEastAsia" w:hAnsiTheme="minorEastAsia" w:eastAsiaTheme="minorEastAsia" w:cstheme="minorEastAsia"/>
                <w:kern w:val="2"/>
                <w:sz w:val="24"/>
                <w:szCs w:val="24"/>
                <w:lang w:val="zh-CN"/>
              </w:rPr>
              <w:t>；</w:t>
            </w:r>
            <w:r>
              <w:rPr>
                <w:rFonts w:hint="eastAsia" w:asciiTheme="minorEastAsia" w:hAnsiTheme="minorEastAsia" w:eastAsiaTheme="minorEastAsia" w:cstheme="minorEastAsia"/>
                <w:kern w:val="2"/>
                <w:sz w:val="24"/>
                <w:szCs w:val="24"/>
                <w:lang w:val="en-US" w:eastAsia="zh-CN"/>
              </w:rPr>
              <w:t>⑧应急预案措施；</w:t>
            </w:r>
            <w:r>
              <w:rPr>
                <w:rFonts w:hint="eastAsia" w:asciiTheme="minorEastAsia" w:hAnsiTheme="minorEastAsia" w:eastAsiaTheme="minorEastAsia" w:cstheme="minorEastAsia"/>
                <w:kern w:val="2"/>
                <w:sz w:val="24"/>
                <w:szCs w:val="24"/>
                <w:lang w:val="zh-CN"/>
              </w:rPr>
              <w:t>⑨后续</w:t>
            </w:r>
            <w:r>
              <w:rPr>
                <w:rFonts w:hint="eastAsia" w:asciiTheme="minorEastAsia" w:hAnsiTheme="minorEastAsia" w:eastAsiaTheme="minorEastAsia" w:cstheme="minorEastAsia"/>
                <w:kern w:val="2"/>
                <w:sz w:val="24"/>
                <w:szCs w:val="24"/>
                <w:lang w:val="en-US" w:eastAsia="zh-CN"/>
              </w:rPr>
              <w:t>跟踪服务</w:t>
            </w:r>
            <w:r>
              <w:rPr>
                <w:rFonts w:hint="eastAsia" w:asciiTheme="minorEastAsia" w:hAnsiTheme="minorEastAsia" w:eastAsiaTheme="minorEastAsia" w:cstheme="minorEastAsia"/>
                <w:kern w:val="2"/>
                <w:sz w:val="24"/>
                <w:szCs w:val="24"/>
                <w:lang w:val="zh-CN"/>
              </w:rPr>
              <w:t>措施。</w:t>
            </w:r>
            <w:r>
              <w:rPr>
                <w:rFonts w:hint="eastAsia" w:asciiTheme="minorEastAsia" w:hAnsiTheme="minorEastAsia" w:eastAsiaTheme="minorEastAsia" w:cstheme="minorEastAsia"/>
                <w:kern w:val="2"/>
                <w:sz w:val="24"/>
                <w:szCs w:val="24"/>
              </w:rPr>
              <w:t>提供的内容完全符合本项目</w:t>
            </w:r>
            <w:r>
              <w:rPr>
                <w:rFonts w:hint="eastAsia" w:asciiTheme="minorEastAsia" w:hAnsiTheme="minorEastAsia" w:eastAsiaTheme="minorEastAsia" w:cstheme="minorEastAsia"/>
                <w:kern w:val="2"/>
                <w:sz w:val="24"/>
                <w:szCs w:val="24"/>
                <w:lang w:val="en-US" w:eastAsia="zh-CN"/>
              </w:rPr>
              <w:t>要求</w:t>
            </w:r>
            <w:r>
              <w:rPr>
                <w:rFonts w:hint="eastAsia" w:asciiTheme="minorEastAsia" w:hAnsiTheme="minorEastAsia" w:eastAsiaTheme="minorEastAsia" w:cstheme="minorEastAsia"/>
                <w:kern w:val="2"/>
                <w:sz w:val="24"/>
                <w:szCs w:val="24"/>
              </w:rPr>
              <w:t>且与项目需求相呼应，内容逻辑描述清晰的得</w:t>
            </w:r>
            <w:r>
              <w:rPr>
                <w:rFonts w:hint="eastAsia" w:asciiTheme="minorEastAsia" w:hAnsiTheme="minorEastAsia" w:eastAsiaTheme="minorEastAsia" w:cstheme="minorEastAsia"/>
                <w:kern w:val="2"/>
                <w:sz w:val="24"/>
                <w:szCs w:val="24"/>
                <w:lang w:val="en-US" w:eastAsia="zh-CN"/>
              </w:rPr>
              <w:t>45</w:t>
            </w:r>
            <w:r>
              <w:rPr>
                <w:rFonts w:hint="eastAsia" w:asciiTheme="minorEastAsia" w:hAnsiTheme="minorEastAsia" w:eastAsiaTheme="minorEastAsia" w:cstheme="minorEastAsia"/>
                <w:kern w:val="2"/>
                <w:sz w:val="24"/>
                <w:szCs w:val="24"/>
              </w:rPr>
              <w:t>分；每缺一项内容扣</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分；每有一项内容存在不足或不能完全符合本项目要求的扣</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分，直至本项扣完为止</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color w:val="auto"/>
                <w:sz w:val="24"/>
                <w:szCs w:val="24"/>
                <w:highlight w:val="none"/>
              </w:rPr>
              <w:t>（注：内容存在不足或不能完全符合本项目要求指：方案内容不契合行业实际、不符合行业政策；或方案内容生搬硬造，与实际情况不符，存在错误；或方案内容过于简略，存在与项目无关的文字内容；或内容不适用项目实际情况；或内容逻辑漏洞或原理错误；或方案中内容前后不一致、前后逻辑错误、涉及的规范及标准错误；或方案中存在地点区域错误，不符合项目实际情况等。）</w:t>
            </w:r>
          </w:p>
        </w:tc>
        <w:tc>
          <w:tcPr>
            <w:tcW w:w="1289" w:type="dxa"/>
            <w:tcBorders>
              <w:top w:val="single" w:color="auto" w:sz="4"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以响应文件为准</w:t>
            </w:r>
          </w:p>
        </w:tc>
        <w:tc>
          <w:tcPr>
            <w:tcW w:w="1009" w:type="dxa"/>
            <w:tcBorders>
              <w:top w:val="single" w:color="auto" w:sz="4"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采购人代表、技术类专家共同评分因素</w:t>
            </w:r>
          </w:p>
        </w:tc>
      </w:tr>
      <w:tr>
        <w:tblPrEx>
          <w:tblCellMar>
            <w:top w:w="0" w:type="dxa"/>
            <w:left w:w="108" w:type="dxa"/>
            <w:bottom w:w="0" w:type="dxa"/>
            <w:right w:w="108" w:type="dxa"/>
          </w:tblCellMar>
        </w:tblPrEx>
        <w:trPr>
          <w:trHeight w:val="90" w:hRule="atLeast"/>
          <w:jc w:val="center"/>
        </w:trPr>
        <w:tc>
          <w:tcPr>
            <w:tcW w:w="714" w:type="dxa"/>
            <w:tcBorders>
              <w:top w:val="nil"/>
              <w:left w:val="single" w:color="auto" w:sz="8" w:space="0"/>
              <w:bottom w:val="single" w:color="000000" w:sz="8"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14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业绩</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w:t>
            </w:r>
          </w:p>
        </w:tc>
        <w:tc>
          <w:tcPr>
            <w:tcW w:w="712"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分</w:t>
            </w:r>
          </w:p>
        </w:tc>
        <w:tc>
          <w:tcPr>
            <w:tcW w:w="5606" w:type="dxa"/>
            <w:tcBorders>
              <w:top w:val="single" w:color="auto" w:sz="4"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自 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eastAsia="zh-CN"/>
              </w:rPr>
              <w:t>年1月1日以来，供应商每具有一个类似</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lang w:eastAsia="zh-CN"/>
              </w:rPr>
              <w:t>业绩的得</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分，本项最多得</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eastAsia="zh-CN"/>
              </w:rPr>
              <w:t>分。</w:t>
            </w:r>
          </w:p>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注：提供中标（成交）通知书或合同复印件加盖供应商公章。</w:t>
            </w:r>
          </w:p>
        </w:tc>
        <w:tc>
          <w:tcPr>
            <w:tcW w:w="1289" w:type="dxa"/>
            <w:tcBorders>
              <w:top w:val="single" w:color="auto" w:sz="4"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以响应文件为准</w:t>
            </w:r>
          </w:p>
        </w:tc>
        <w:tc>
          <w:tcPr>
            <w:tcW w:w="1009" w:type="dxa"/>
            <w:tcBorders>
              <w:top w:val="single" w:color="auto" w:sz="4"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共同评分因素</w:t>
            </w:r>
          </w:p>
        </w:tc>
      </w:tr>
      <w:tr>
        <w:tblPrEx>
          <w:tblCellMar>
            <w:top w:w="0" w:type="dxa"/>
            <w:left w:w="108" w:type="dxa"/>
            <w:bottom w:w="0" w:type="dxa"/>
            <w:right w:w="108" w:type="dxa"/>
          </w:tblCellMar>
        </w:tblPrEx>
        <w:trPr>
          <w:trHeight w:val="333" w:hRule="atLeast"/>
          <w:jc w:val="center"/>
        </w:trPr>
        <w:tc>
          <w:tcPr>
            <w:tcW w:w="714"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14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人员配置</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p>
        </w:tc>
        <w:tc>
          <w:tcPr>
            <w:tcW w:w="712"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tc>
        <w:tc>
          <w:tcPr>
            <w:tcW w:w="5606" w:type="dxa"/>
            <w:tcBorders>
              <w:top w:val="single" w:color="auto" w:sz="4" w:space="0"/>
              <w:left w:val="single" w:color="auto" w:sz="8" w:space="0"/>
              <w:bottom w:val="single" w:color="auto" w:sz="4" w:space="0"/>
              <w:right w:val="single" w:color="auto" w:sz="8" w:space="0"/>
            </w:tcBorders>
            <w:noWrap/>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1.项目负责人：具有环保工程师证书的得5分；</w:t>
            </w:r>
          </w:p>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2.项目技术负责人：具有环保工程师证书的得5分。</w:t>
            </w:r>
          </w:p>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注：1.上述人员不重复计分；2.供应商须提供上述人员的相关证书复印件并加盖供应商鲜章；3.供应商须提供上述人员为本单位人员的证明材料。</w:t>
            </w:r>
          </w:p>
        </w:tc>
        <w:tc>
          <w:tcPr>
            <w:tcW w:w="1289" w:type="dxa"/>
            <w:tcBorders>
              <w:top w:val="single" w:color="auto" w:sz="4"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以响应文件为准</w:t>
            </w:r>
          </w:p>
        </w:tc>
        <w:tc>
          <w:tcPr>
            <w:tcW w:w="1009" w:type="dxa"/>
            <w:tcBorders>
              <w:top w:val="single" w:color="auto" w:sz="4" w:space="0"/>
              <w:left w:val="single" w:color="auto" w:sz="8" w:space="0"/>
              <w:bottom w:val="single" w:color="000000"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共同评分因素</w:t>
            </w: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0B22B0"/>
    <w:rsid w:val="01724615"/>
    <w:rsid w:val="01AC44D5"/>
    <w:rsid w:val="01DA1F83"/>
    <w:rsid w:val="02653FAC"/>
    <w:rsid w:val="02C96938"/>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BC759A0"/>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4E66836"/>
    <w:rsid w:val="35850C85"/>
    <w:rsid w:val="358537EA"/>
    <w:rsid w:val="36206E51"/>
    <w:rsid w:val="3645059F"/>
    <w:rsid w:val="36FA0C0E"/>
    <w:rsid w:val="37564C34"/>
    <w:rsid w:val="37AF0C3F"/>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0F002E"/>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840D24"/>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4">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next w:val="7"/>
    <w:qFormat/>
    <w:uiPriority w:val="0"/>
    <w:pPr>
      <w:spacing w:after="120" w:afterLines="0" w:afterAutospacing="0"/>
    </w:pPr>
  </w:style>
  <w:style w:type="paragraph" w:styleId="7">
    <w:name w:val="Quote"/>
    <w:basedOn w:val="1"/>
    <w:next w:val="1"/>
    <w:qFormat/>
    <w:uiPriority w:val="0"/>
    <w:rPr>
      <w:i/>
      <w:iCs/>
      <w:color w:val="000000"/>
      <w:szCs w:val="22"/>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6"/>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3"/>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5236</Words>
  <Characters>5390</Characters>
  <Lines>0</Lines>
  <Paragraphs>0</Paragraphs>
  <TotalTime>4</TotalTime>
  <ScaleCrop>false</ScaleCrop>
  <LinksUpToDate>false</LinksUpToDate>
  <CharactersWithSpaces>5586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2019-09-23T08:20:00Z</cp:lastPrinted>
  <dcterms:modified xsi:type="dcterms:W3CDTF">2023-12-01T08:33:40Z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7BF8C447DBB94CFC8AB5040DF4E3FDCA_13</vt:lpwstr>
  </property>
</Properties>
</file>