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FF0000"/>
          <w:sz w:val="52"/>
          <w:szCs w:val="52"/>
          <w:lang w:val="en-US" w:eastAsia="zh-CN"/>
        </w:rPr>
        <w:t>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bookmarkStart w:id="16" w:name="_GoBack"/>
      <w:r>
        <w:rPr>
          <w:rFonts w:hint="eastAsia" w:ascii="黑体" w:hAnsi="黑体" w:eastAsia="黑体" w:cs="黑体"/>
          <w:sz w:val="40"/>
          <w:szCs w:val="40"/>
          <w:lang w:val="en-US" w:eastAsia="zh-CN"/>
        </w:rPr>
        <w:t>电缆及配件采购项目</w:t>
      </w:r>
      <w:bookmarkEnd w:id="16"/>
      <w:r>
        <w:rPr>
          <w:rFonts w:hint="eastAsia" w:ascii="黑体" w:hAnsi="黑体" w:eastAsia="黑体" w:cs="黑体"/>
          <w:sz w:val="40"/>
          <w:szCs w:val="40"/>
          <w:lang w:val="en-US" w:eastAsia="zh-CN"/>
        </w:rPr>
        <w:t>（紧急）</w:t>
      </w:r>
    </w:p>
    <w:p>
      <w:pPr>
        <w:pStyle w:val="7"/>
        <w:rPr>
          <w:rFonts w:hint="eastAsia" w:ascii="黑体" w:hAnsi="黑体" w:eastAsia="黑体" w:cs="黑体"/>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YNCG2024001</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2024年1月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电缆及配件</w:t>
      </w:r>
      <w:r>
        <w:rPr>
          <w:rFonts w:hint="eastAsia" w:ascii="黑体" w:hAnsi="黑体" w:eastAsia="黑体" w:cs="黑体"/>
          <w:sz w:val="36"/>
          <w:szCs w:val="36"/>
          <w:lang w:eastAsia="zh-CN"/>
        </w:rPr>
        <w:t>院内采购公告（</w:t>
      </w:r>
      <w:r>
        <w:rPr>
          <w:rFonts w:hint="eastAsia" w:ascii="黑体" w:hAnsi="黑体" w:eastAsia="黑体" w:cs="黑体"/>
          <w:sz w:val="36"/>
          <w:szCs w:val="36"/>
          <w:lang w:val="en-US" w:eastAsia="zh-CN"/>
        </w:rPr>
        <w:t>紧急</w:t>
      </w:r>
      <w:r>
        <w:rPr>
          <w:rFonts w:hint="eastAsia" w:ascii="黑体" w:hAnsi="黑体" w:eastAsia="黑体" w:cs="黑体"/>
          <w:sz w:val="36"/>
          <w:szCs w:val="36"/>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YNCG2024001            ，项目包数量：1个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二、项目背景：对供应室电路改造</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电缆及配件采购项目  预算价格41179.9元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w:t>
      </w:r>
      <w:r>
        <w:rPr>
          <w:rFonts w:hint="eastAsia" w:ascii="仿宋" w:hAnsi="仿宋" w:eastAsia="仿宋" w:cs="仿宋"/>
          <w:color w:val="FF0000"/>
          <w:kern w:val="0"/>
          <w:sz w:val="32"/>
          <w:szCs w:val="32"/>
          <w:lang w:val="en-US" w:eastAsia="zh-CN"/>
        </w:rPr>
        <w:t>2024年1月5日17:00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w:t>
      </w:r>
      <w:r>
        <w:rPr>
          <w:rFonts w:hint="eastAsia" w:ascii="仿宋" w:hAnsi="仿宋" w:eastAsia="仿宋" w:cs="仿宋"/>
          <w:color w:val="FF0000"/>
          <w:kern w:val="0"/>
          <w:sz w:val="32"/>
          <w:szCs w:val="32"/>
          <w:lang w:val="en-US" w:eastAsia="zh-CN"/>
        </w:rPr>
        <w:t>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采购文件</w:t>
      </w:r>
      <w:r>
        <w:rPr>
          <w:rFonts w:hint="eastAsia" w:ascii="仿宋" w:hAnsi="仿宋" w:eastAsia="仿宋" w:cs="仿宋"/>
          <w:color w:val="555555"/>
          <w:kern w:val="0"/>
          <w:sz w:val="32"/>
          <w:szCs w:val="32"/>
        </w:rPr>
        <w:t>:</w:t>
      </w:r>
      <w:r>
        <w:rPr>
          <w:rFonts w:hint="eastAsia" w:ascii="仿宋" w:hAnsi="仿宋" w:eastAsia="仿宋" w:cs="仿宋"/>
          <w:color w:val="FF0000"/>
          <w:kern w:val="0"/>
          <w:sz w:val="32"/>
          <w:szCs w:val="32"/>
          <w:lang w:eastAsia="zh-CN"/>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电话:</w:t>
      </w:r>
      <w:r>
        <w:rPr>
          <w:rFonts w:hint="eastAsia" w:ascii="仿宋" w:hAnsi="仿宋" w:eastAsia="仿宋" w:cs="仿宋"/>
          <w:color w:val="555555"/>
          <w:kern w:val="0"/>
          <w:sz w:val="32"/>
          <w:szCs w:val="32"/>
          <w:lang w:val="en-US" w:eastAsia="zh-CN"/>
        </w:rPr>
        <w:t>0833-3211269</w:t>
      </w:r>
    </w:p>
    <w:p>
      <w:pPr>
        <w:ind w:firstLine="640" w:firstLineChars="200"/>
        <w:rPr>
          <w:rFonts w:hint="eastAsia" w:ascii="黑体" w:hAnsi="黑体" w:eastAsia="黑体" w:cs="黑体"/>
          <w:b/>
          <w:bCs/>
          <w:color w:val="auto"/>
          <w:sz w:val="72"/>
          <w:szCs w:val="72"/>
          <w:lang w:val="en-US" w:eastAsia="zh-CN"/>
        </w:rPr>
      </w:pPr>
      <w:r>
        <w:rPr>
          <w:rFonts w:hint="eastAsia" w:ascii="仿宋" w:hAnsi="仿宋" w:eastAsia="仿宋" w:cs="仿宋"/>
          <w:color w:val="555555"/>
          <w:kern w:val="0"/>
          <w:sz w:val="32"/>
          <w:szCs w:val="32"/>
          <w:lang w:val="en-US" w:eastAsia="zh-CN"/>
        </w:rPr>
        <w:t>项目联系人</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val="en-US" w:eastAsia="zh-CN"/>
        </w:rPr>
        <w:t xml:space="preserve">何老师      电话:0833-3351690 </w:t>
      </w: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r>
        <w:rPr>
          <w:rFonts w:hint="eastAsia" w:ascii="仿宋" w:hAnsi="仿宋" w:eastAsia="仿宋" w:cs="仿宋"/>
          <w:color w:val="FF0000"/>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eastAsia="zh-CN"/>
        </w:rPr>
        <w:t>综合评分最高</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25737"/>
      <w:bookmarkStart w:id="1" w:name="_Toc5773"/>
      <w:bookmarkStart w:id="2" w:name="_Toc9490"/>
      <w:bookmarkStart w:id="3" w:name="_Toc18458"/>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439699516"/>
      <w:bookmarkStart w:id="5" w:name="_Toc17549"/>
      <w:bookmarkStart w:id="6" w:name="_Toc4003"/>
      <w:bookmarkStart w:id="7" w:name="_Toc12449"/>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6"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p>
        </w:tc>
        <w:tc>
          <w:tcPr>
            <w:tcW w:w="512"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p>
        </w:tc>
        <w:tc>
          <w:tcPr>
            <w:tcW w:w="840"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5"/>
        <w:rPr>
          <w:rFonts w:hint="eastAsia" w:ascii="仿宋" w:hAnsi="仿宋" w:eastAsia="仿宋" w:cs="仿宋"/>
          <w:color w:val="auto"/>
          <w:sz w:val="30"/>
          <w:szCs w:val="30"/>
          <w:highlight w:val="none"/>
          <w:lang w:eastAsia="zh-CN"/>
        </w:rPr>
      </w:pPr>
    </w:p>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99"/>
      <w:bookmarkStart w:id="9" w:name="_Toc16184"/>
      <w:bookmarkStart w:id="10" w:name="_Toc439699522"/>
      <w:bookmarkStart w:id="11" w:name="_Toc1800"/>
      <w:bookmarkStart w:id="12" w:name="_Toc12426"/>
      <w:bookmarkStart w:id="13" w:name="_Toc24199"/>
      <w:bookmarkStart w:id="14" w:name="_Toc1287"/>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5"/>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技术参数要求（本次采购核心产品是电缆）：</w:t>
      </w:r>
    </w:p>
    <w:tbl>
      <w:tblPr>
        <w:tblStyle w:val="18"/>
        <w:tblpPr w:leftFromText="180" w:rightFromText="180" w:vertAnchor="text" w:horzAnchor="page" w:tblpX="1684" w:tblpY="129"/>
        <w:tblOverlap w:val="never"/>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955"/>
        <w:gridCol w:w="3054"/>
        <w:gridCol w:w="1023"/>
        <w:gridCol w:w="15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63"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名称</w:t>
            </w:r>
          </w:p>
        </w:tc>
        <w:tc>
          <w:tcPr>
            <w:tcW w:w="955"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数量</w:t>
            </w:r>
          </w:p>
        </w:tc>
        <w:tc>
          <w:tcPr>
            <w:tcW w:w="3054"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w:t>
            </w:r>
          </w:p>
        </w:tc>
        <w:tc>
          <w:tcPr>
            <w:tcW w:w="1023"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材质</w:t>
            </w:r>
          </w:p>
        </w:tc>
        <w:tc>
          <w:tcPr>
            <w:tcW w:w="1594"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单价（元）</w:t>
            </w:r>
          </w:p>
        </w:tc>
        <w:tc>
          <w:tcPr>
            <w:tcW w:w="1547"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263"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电缆</w:t>
            </w:r>
          </w:p>
        </w:tc>
        <w:tc>
          <w:tcPr>
            <w:tcW w:w="955"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95米</w:t>
            </w:r>
          </w:p>
        </w:tc>
        <w:tc>
          <w:tcPr>
            <w:tcW w:w="3054"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YJV-0.6/1KV</w:t>
            </w:r>
          </w:p>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4*120mm+1*70mm</w:t>
            </w:r>
          </w:p>
        </w:tc>
        <w:tc>
          <w:tcPr>
            <w:tcW w:w="1023"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铜芯</w:t>
            </w:r>
          </w:p>
        </w:tc>
        <w:tc>
          <w:tcPr>
            <w:tcW w:w="1594"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420.42</w:t>
            </w:r>
          </w:p>
        </w:tc>
        <w:tc>
          <w:tcPr>
            <w:tcW w:w="1547"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39939.9</w:t>
            </w:r>
          </w:p>
          <w:p>
            <w:pPr>
              <w:pStyle w:val="16"/>
              <w:numPr>
                <w:ilvl w:val="0"/>
                <w:numId w:val="0"/>
              </w:numPr>
              <w:spacing w:line="240" w:lineRule="auto"/>
              <w:ind w:leftChars="0" w:firstLine="640" w:firstLineChars="200"/>
              <w:rPr>
                <w:rFonts w:hint="default"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63" w:type="dxa"/>
            <w:vMerge w:val="restart"/>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线鼻子</w:t>
            </w:r>
          </w:p>
        </w:tc>
        <w:tc>
          <w:tcPr>
            <w:tcW w:w="955"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10个</w:t>
            </w:r>
          </w:p>
        </w:tc>
        <w:tc>
          <w:tcPr>
            <w:tcW w:w="3054"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120mm</w:t>
            </w:r>
          </w:p>
        </w:tc>
        <w:tc>
          <w:tcPr>
            <w:tcW w:w="1023"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铜</w:t>
            </w:r>
          </w:p>
        </w:tc>
        <w:tc>
          <w:tcPr>
            <w:tcW w:w="1594"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w:t>
            </w:r>
          </w:p>
        </w:tc>
        <w:tc>
          <w:tcPr>
            <w:tcW w:w="1547"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63" w:type="dxa"/>
            <w:vMerge w:val="continue"/>
          </w:tcPr>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tc>
        <w:tc>
          <w:tcPr>
            <w:tcW w:w="955"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5个</w:t>
            </w:r>
          </w:p>
        </w:tc>
        <w:tc>
          <w:tcPr>
            <w:tcW w:w="3054"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70mm</w:t>
            </w:r>
          </w:p>
        </w:tc>
        <w:tc>
          <w:tcPr>
            <w:tcW w:w="1023"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铜</w:t>
            </w:r>
          </w:p>
        </w:tc>
        <w:tc>
          <w:tcPr>
            <w:tcW w:w="1594"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1547"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63" w:type="dxa"/>
            <w:vMerge w:val="continue"/>
          </w:tcPr>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tc>
        <w:tc>
          <w:tcPr>
            <w:tcW w:w="955"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20个</w:t>
            </w:r>
          </w:p>
        </w:tc>
        <w:tc>
          <w:tcPr>
            <w:tcW w:w="3054"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50mm</w:t>
            </w:r>
          </w:p>
        </w:tc>
        <w:tc>
          <w:tcPr>
            <w:tcW w:w="1023"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铜</w:t>
            </w:r>
          </w:p>
        </w:tc>
        <w:tc>
          <w:tcPr>
            <w:tcW w:w="1594"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p>
        </w:tc>
        <w:tc>
          <w:tcPr>
            <w:tcW w:w="1547"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1263"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电缆终端头</w:t>
            </w:r>
          </w:p>
        </w:tc>
        <w:tc>
          <w:tcPr>
            <w:tcW w:w="955"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2套</w:t>
            </w:r>
          </w:p>
        </w:tc>
        <w:tc>
          <w:tcPr>
            <w:tcW w:w="3054" w:type="dxa"/>
            <w:vAlign w:val="top"/>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YJV-0.6/1KV</w:t>
            </w:r>
          </w:p>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4*120mm+1*70mm</w:t>
            </w:r>
          </w:p>
        </w:tc>
        <w:tc>
          <w:tcPr>
            <w:tcW w:w="1023" w:type="dxa"/>
          </w:tcPr>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tc>
        <w:tc>
          <w:tcPr>
            <w:tcW w:w="1594"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w:t>
            </w:r>
          </w:p>
        </w:tc>
        <w:tc>
          <w:tcPr>
            <w:tcW w:w="1547"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263"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塑壳空开</w:t>
            </w:r>
          </w:p>
        </w:tc>
        <w:tc>
          <w:tcPr>
            <w:tcW w:w="955"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2个</w:t>
            </w:r>
          </w:p>
        </w:tc>
        <w:tc>
          <w:tcPr>
            <w:tcW w:w="3054"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3P100A（限施耐德、ABB、西门子品牌之一）</w:t>
            </w:r>
          </w:p>
        </w:tc>
        <w:tc>
          <w:tcPr>
            <w:tcW w:w="1023" w:type="dxa"/>
          </w:tcPr>
          <w:p>
            <w:pPr>
              <w:pStyle w:val="16"/>
              <w:numPr>
                <w:ilvl w:val="0"/>
                <w:numId w:val="0"/>
              </w:numPr>
              <w:spacing w:line="240" w:lineRule="auto"/>
              <w:rPr>
                <w:rFonts w:hint="default" w:ascii="仿宋" w:hAnsi="仿宋" w:eastAsia="仿宋" w:cs="仿宋"/>
                <w:sz w:val="32"/>
                <w:szCs w:val="32"/>
                <w:lang w:val="en-US" w:eastAsia="zh-CN"/>
              </w:rPr>
            </w:pPr>
          </w:p>
        </w:tc>
        <w:tc>
          <w:tcPr>
            <w:tcW w:w="1594"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400</w:t>
            </w:r>
          </w:p>
        </w:tc>
        <w:tc>
          <w:tcPr>
            <w:tcW w:w="1547"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63" w:type="dxa"/>
          </w:tcPr>
          <w:p>
            <w:pPr>
              <w:pStyle w:val="16"/>
              <w:numPr>
                <w:ilvl w:val="0"/>
                <w:numId w:val="0"/>
              </w:num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w:t>
            </w:r>
          </w:p>
        </w:tc>
        <w:tc>
          <w:tcPr>
            <w:tcW w:w="955" w:type="dxa"/>
          </w:tcPr>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tc>
        <w:tc>
          <w:tcPr>
            <w:tcW w:w="3054" w:type="dxa"/>
          </w:tcPr>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tc>
        <w:tc>
          <w:tcPr>
            <w:tcW w:w="1023" w:type="dxa"/>
          </w:tcPr>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tc>
        <w:tc>
          <w:tcPr>
            <w:tcW w:w="1594" w:type="dxa"/>
          </w:tcPr>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tc>
        <w:tc>
          <w:tcPr>
            <w:tcW w:w="1547" w:type="dxa"/>
          </w:tcPr>
          <w:p>
            <w:pPr>
              <w:pStyle w:val="16"/>
              <w:numPr>
                <w:ilvl w:val="0"/>
                <w:numId w:val="0"/>
              </w:numPr>
              <w:spacing w:line="24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41179.9</w:t>
            </w:r>
          </w:p>
        </w:tc>
      </w:tr>
    </w:tbl>
    <w:p>
      <w:pPr>
        <w:pStyle w:val="16"/>
        <w:numPr>
          <w:ilvl w:val="0"/>
          <w:numId w:val="0"/>
        </w:numPr>
        <w:spacing w:line="240" w:lineRule="auto"/>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16"/>
        <w:numPr>
          <w:ilvl w:val="0"/>
          <w:numId w:val="0"/>
        </w:numPr>
        <w:spacing w:line="240" w:lineRule="auto"/>
        <w:ind w:lef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需提供电缆样品，长度不小于10公分。</w:t>
      </w: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交货时间：合同签订之日起10个工作日</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服务要求：投标供应商应制定完备的售后服务计划和相关的应急预案措施，确保 保质、保量、及时供货。中标供应商在货物运输中如发生安全事故，一切责任由中标供应商负责。</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付款方式：验收并收到发票以后30个工作日内支付70%，余款一年内付清。</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质量要求：供应商所提供的设备须符合国家有关质量标准和谈判文件要求。所供的货物必须是 全新的，未使用过的产品（即：厂家原装正品）不得侵害他人的知识产权。货物必须符合或优 于国家标准，质保期为一年 。</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验收方式：：严格按照国家及行业现行技术规范标准，符合国家及行业验收合格标准。</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pPr>
        <w:rPr>
          <w:rFonts w:hint="eastAsia" w:ascii="黑体" w:hAnsi="黑体" w:eastAsia="黑体" w:cs="黑体"/>
          <w:lang w:eastAsia="zh-CN"/>
        </w:rPr>
      </w:pPr>
    </w:p>
    <w:p>
      <w:pPr>
        <w:pStyle w:val="3"/>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16"/>
        <w:rPr>
          <w:rFonts w:hint="eastAsia" w:ascii="黑体" w:hAnsi="黑体" w:eastAsia="黑体" w:cs="黑体"/>
          <w:lang w:eastAsia="zh-CN"/>
        </w:rPr>
      </w:pPr>
    </w:p>
    <w:p>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50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满足招标文件要求且投标价格最低的投标报价为评标基准价，其价格分为满分。其他供应商的价格分统一按照下列公式计算：投标报价得分=(评标基准价÷投标报价)×50%×100；（最低价基准法）</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根据供应商对技术、商务，完全响应文件要求没有负偏离的得满分，有一项负偏离的扣2分，扣完为止</w:t>
            </w:r>
            <w:r>
              <w:rPr>
                <w:rFonts w:hint="eastAsia" w:ascii="仿宋" w:hAnsi="仿宋" w:eastAsia="仿宋" w:cs="仿宋"/>
                <w:kern w:val="1"/>
                <w:sz w:val="32"/>
                <w:szCs w:val="32"/>
              </w:rPr>
              <w:t>。</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p>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sz w:val="32"/>
                <w:szCs w:val="32"/>
              </w:rPr>
              <w:t>服务</w:t>
            </w:r>
            <w:r>
              <w:rPr>
                <w:rFonts w:hint="eastAsia" w:ascii="仿宋" w:hAnsi="仿宋" w:eastAsia="仿宋" w:cs="仿宋"/>
                <w:kern w:val="1"/>
                <w:sz w:val="32"/>
                <w:szCs w:val="32"/>
                <w:lang w:val="en-US" w:eastAsia="zh-CN"/>
              </w:rPr>
              <w:t>方案</w:t>
            </w:r>
          </w:p>
          <w:p>
            <w:pPr>
              <w:spacing w:line="320" w:lineRule="atLeast"/>
              <w:jc w:val="center"/>
              <w:rPr>
                <w:rFonts w:hint="eastAsia" w:ascii="仿宋" w:hAnsi="仿宋" w:eastAsia="仿宋" w:cs="仿宋"/>
                <w:sz w:val="32"/>
                <w:szCs w:val="32"/>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投标供应商应制定完备的售后服务计划和相关的应急预案措施，确保保质、保量、及时供货，计划完善每项得5分，本项最多得10分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06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样品</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sz w:val="32"/>
                <w:szCs w:val="32"/>
                <w:lang w:val="en-US" w:eastAsia="zh-CN"/>
              </w:rPr>
              <w:t>外观，铜芯切面、铜芯光洁度，壁厚，质量、偏心率等进行综合评比得分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67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sz w:val="32"/>
                <w:szCs w:val="32"/>
                <w:lang w:val="en-US" w:eastAsia="zh-CN"/>
              </w:rPr>
            </w:pP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sz w:val="32"/>
                <w:szCs w:val="32"/>
                <w:lang w:eastAsia="zh-CN"/>
              </w:rPr>
            </w:pP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eastAsia" w:ascii="仿宋" w:hAnsi="仿宋" w:eastAsia="仿宋" w:cs="仿宋"/>
                <w:kern w:val="1"/>
                <w:sz w:val="32"/>
                <w:szCs w:val="32"/>
                <w:lang w:val="en-US" w:eastAsia="zh-CN"/>
              </w:rPr>
            </w:pPr>
          </w:p>
        </w:tc>
        <w:tc>
          <w:tcPr>
            <w:tcW w:w="651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left"/>
              <w:rPr>
                <w:rFonts w:hint="eastAsia" w:ascii="仿宋" w:hAnsi="仿宋" w:eastAsia="仿宋" w:cs="仿宋"/>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TAyMGRmMjcwNTBmOGI2MDAwOTRkOTlkYmMzZjAifQ=="/>
  </w:docVars>
  <w:rsids>
    <w:rsidRoot w:val="20B86F62"/>
    <w:rsid w:val="00FE51BA"/>
    <w:rsid w:val="01724615"/>
    <w:rsid w:val="01AC44D5"/>
    <w:rsid w:val="01DA1F83"/>
    <w:rsid w:val="02653FAC"/>
    <w:rsid w:val="038264FB"/>
    <w:rsid w:val="03E45948"/>
    <w:rsid w:val="03EB6F22"/>
    <w:rsid w:val="047A7398"/>
    <w:rsid w:val="04976AF6"/>
    <w:rsid w:val="057A0A88"/>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3065C7"/>
    <w:rsid w:val="11551C0D"/>
    <w:rsid w:val="11630C29"/>
    <w:rsid w:val="12374305"/>
    <w:rsid w:val="12AB3D92"/>
    <w:rsid w:val="132D67B3"/>
    <w:rsid w:val="13320F8E"/>
    <w:rsid w:val="13E72023"/>
    <w:rsid w:val="159705C2"/>
    <w:rsid w:val="167E1C89"/>
    <w:rsid w:val="17540CAE"/>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DE81A96"/>
    <w:rsid w:val="1E433F58"/>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B74310A"/>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5AF3460"/>
    <w:rsid w:val="36206E51"/>
    <w:rsid w:val="3645059F"/>
    <w:rsid w:val="36FA0C0E"/>
    <w:rsid w:val="37564C34"/>
    <w:rsid w:val="37AF0C3F"/>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DF1D0A"/>
    <w:rsid w:val="49F61C6A"/>
    <w:rsid w:val="4A2F0F8F"/>
    <w:rsid w:val="4B21070C"/>
    <w:rsid w:val="4B874756"/>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autoRedefine/>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after="120" w:afterLines="0" w:afterAutospacing="0"/>
    </w:pPr>
  </w:style>
  <w:style w:type="paragraph" w:styleId="6">
    <w:name w:val="Quote"/>
    <w:basedOn w:val="1"/>
    <w:next w:val="1"/>
    <w:autoRedefine/>
    <w:qFormat/>
    <w:uiPriority w:val="0"/>
    <w:rPr>
      <w:i/>
      <w:iCs/>
      <w:color w:val="000000"/>
      <w:szCs w:val="22"/>
    </w:rPr>
  </w:style>
  <w:style w:type="paragraph" w:styleId="7">
    <w:name w:val="Body Text Indent"/>
    <w:basedOn w:val="1"/>
    <w:next w:val="8"/>
    <w:autoRedefine/>
    <w:qFormat/>
    <w:uiPriority w:val="0"/>
    <w:pPr>
      <w:spacing w:after="120" w:afterLines="0"/>
      <w:ind w:left="420" w:leftChars="200"/>
    </w:pPr>
  </w:style>
  <w:style w:type="paragraph" w:styleId="8">
    <w:name w:val="envelope return"/>
    <w:basedOn w:val="1"/>
    <w:autoRedefine/>
    <w:qFormat/>
    <w:uiPriority w:val="0"/>
    <w:pPr>
      <w:snapToGrid w:val="0"/>
    </w:pPr>
    <w:rPr>
      <w:rFonts w:ascii="Arial" w:hAnsi="Arial"/>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628"/>
      </w:tabs>
      <w:spacing w:line="360" w:lineRule="auto"/>
      <w:jc w:val="center"/>
    </w:pPr>
  </w:style>
  <w:style w:type="paragraph" w:styleId="1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autoRedefine/>
    <w:qFormat/>
    <w:uiPriority w:val="0"/>
    <w:pPr>
      <w:ind w:firstLine="420" w:firstLineChars="100"/>
    </w:pPr>
    <w:rPr>
      <w:rFonts w:ascii="Times New Roman" w:hAnsi="Times New Roman" w:eastAsia="宋体" w:cs="Times New Roma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autoRedefine/>
    <w:qFormat/>
    <w:uiPriority w:val="0"/>
    <w:rPr>
      <w:color w:val="0000FF"/>
      <w:u w:val="single"/>
    </w:rPr>
  </w:style>
  <w:style w:type="character" w:customStyle="1" w:styleId="22">
    <w:name w:val="标题 1 Char"/>
    <w:link w:val="2"/>
    <w:autoRedefine/>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autoRedefine/>
    <w:qFormat/>
    <w:uiPriority w:val="0"/>
    <w:pPr>
      <w:spacing w:line="360" w:lineRule="auto"/>
      <w:ind w:firstLine="200" w:firstLineChars="200"/>
    </w:pPr>
  </w:style>
  <w:style w:type="character" w:customStyle="1" w:styleId="24">
    <w:name w:val="font21"/>
    <w:basedOn w:val="19"/>
    <w:autoRedefine/>
    <w:qFormat/>
    <w:uiPriority w:val="0"/>
    <w:rPr>
      <w:rFonts w:ascii="Calibri" w:hAnsi="Calibri" w:cs="Calibri"/>
      <w:color w:val="000000"/>
      <w:sz w:val="18"/>
      <w:szCs w:val="18"/>
      <w:u w:val="none"/>
    </w:rPr>
  </w:style>
  <w:style w:type="character" w:customStyle="1" w:styleId="25">
    <w:name w:val="font01"/>
    <w:basedOn w:val="19"/>
    <w:autoRedefine/>
    <w:qFormat/>
    <w:uiPriority w:val="0"/>
    <w:rPr>
      <w:rFonts w:hint="eastAsia" w:ascii="宋体" w:hAnsi="宋体" w:eastAsia="宋体" w:cs="宋体"/>
      <w:color w:val="000000"/>
      <w:sz w:val="18"/>
      <w:szCs w:val="18"/>
      <w:u w:val="none"/>
    </w:rPr>
  </w:style>
  <w:style w:type="paragraph" w:styleId="26">
    <w:name w:val="List Paragraph"/>
    <w:basedOn w:val="1"/>
    <w:autoRedefine/>
    <w:qFormat/>
    <w:uiPriority w:val="34"/>
    <w:pPr>
      <w:ind w:firstLine="420" w:firstLineChars="200"/>
    </w:pPr>
    <w:rPr>
      <w:rFonts w:ascii="Calibri" w:hAnsi="Calibri" w:eastAsia="宋体" w:cs="Times New Roman"/>
      <w:sz w:val="21"/>
      <w:szCs w:val="22"/>
    </w:rPr>
  </w:style>
  <w:style w:type="paragraph" w:customStyle="1" w:styleId="27">
    <w:name w:val="文章正文"/>
    <w:basedOn w:val="1"/>
    <w:autoRedefine/>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autoRedefine/>
    <w:qFormat/>
    <w:uiPriority w:val="34"/>
    <w:pPr>
      <w:ind w:firstLine="420" w:firstLineChars="200"/>
    </w:pPr>
  </w:style>
  <w:style w:type="paragraph" w:customStyle="1" w:styleId="29">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5236</Words>
  <Characters>5390</Characters>
  <Lines>0</Lines>
  <Paragraphs>0</Paragraphs>
  <TotalTime>4</TotalTime>
  <ScaleCrop>false</ScaleCrop>
  <LinksUpToDate>false</LinksUpToDate>
  <CharactersWithSpaces>5586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2024-01-03T02:05:00Z</cp:lastPrinted>
  <dcterms:modified xsi:type="dcterms:W3CDTF">2024-01-03T03:00:18Z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1FC8F323DE0D4842ABBFFC65AF450318_13</vt:lpwstr>
  </property>
</Properties>
</file>