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52"/>
          <w:szCs w:val="52"/>
          <w:lang w:eastAsia="zh-CN"/>
        </w:rPr>
        <w:t>乐山市五通桥区人民医院</w:t>
      </w:r>
      <w:r>
        <w:rPr>
          <w:rFonts w:hint="eastAsia" w:ascii="黑体" w:hAnsi="黑体" w:eastAsia="黑体" w:cs="黑体"/>
          <w:color w:val="FF0000"/>
          <w:sz w:val="52"/>
          <w:szCs w:val="52"/>
          <w:lang w:val="en-US" w:eastAsia="zh-CN"/>
        </w:rPr>
        <w:t>采购</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40"/>
          <w:szCs w:val="40"/>
          <w:lang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项目名称：</w:t>
      </w:r>
      <w:r>
        <w:rPr>
          <w:rFonts w:hint="eastAsia" w:ascii="黑体" w:hAnsi="黑体" w:eastAsia="黑体" w:cs="黑体"/>
          <w:sz w:val="40"/>
          <w:szCs w:val="40"/>
          <w:lang w:val="en-US" w:eastAsia="zh-CN"/>
        </w:rPr>
        <w:t>检验外包服务</w:t>
      </w:r>
    </w:p>
    <w:p>
      <w:pPr>
        <w:pStyle w:val="7"/>
        <w:rPr>
          <w:rFonts w:hint="eastAsia" w:ascii="黑体" w:hAnsi="黑体" w:eastAsia="黑体" w:cs="黑体"/>
          <w:lang w:val="en-US"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YNCG006</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2024年 6月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bookmarkStart w:id="16" w:name="_GoBack"/>
      <w:r>
        <w:rPr>
          <w:rFonts w:hint="eastAsia" w:ascii="黑体" w:hAnsi="黑体" w:eastAsia="黑体" w:cs="黑体"/>
          <w:sz w:val="36"/>
          <w:szCs w:val="36"/>
          <w:lang w:eastAsia="zh-CN"/>
        </w:rPr>
        <w:t>乐山市五通桥区人民医院</w:t>
      </w:r>
      <w:r>
        <w:rPr>
          <w:rFonts w:hint="eastAsia" w:ascii="黑体" w:hAnsi="黑体" w:eastAsia="黑体" w:cs="黑体"/>
          <w:sz w:val="36"/>
          <w:szCs w:val="36"/>
          <w:lang w:val="en-US" w:eastAsia="zh-CN"/>
        </w:rPr>
        <w:t>检验外包服务</w:t>
      </w:r>
      <w:r>
        <w:rPr>
          <w:rFonts w:hint="eastAsia" w:ascii="黑体" w:hAnsi="黑体" w:eastAsia="黑体" w:cs="黑体"/>
          <w:sz w:val="36"/>
          <w:szCs w:val="36"/>
          <w:lang w:eastAsia="zh-CN"/>
        </w:rPr>
        <w:t>院内采购公告</w:t>
      </w:r>
      <w:bookmarkEnd w:id="16"/>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YNCG006，项目包数量：1个</w:t>
      </w:r>
    </w:p>
    <w:p>
      <w:pPr>
        <w:pStyle w:val="15"/>
        <w:spacing w:line="240" w:lineRule="auto"/>
        <w:rPr>
          <w:rFonts w:hint="default"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二、项目背景：本项目通过院内采购的方式确定供应商（检测机构），承担乐山市五通桥区人民医院检验服务。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三、采购项目内容（详细要求请看附件）：检验外包服务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w:t>
      </w:r>
    </w:p>
    <w:p>
      <w:pPr>
        <w:pStyle w:val="6"/>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以上资料至少2套，请满足上述资质要求的供应商于</w:t>
      </w:r>
      <w:r>
        <w:rPr>
          <w:rFonts w:hint="eastAsia" w:ascii="仿宋" w:hAnsi="仿宋" w:eastAsia="仿宋" w:cs="仿宋"/>
          <w:color w:val="FF0000"/>
          <w:kern w:val="0"/>
          <w:sz w:val="32"/>
          <w:szCs w:val="32"/>
          <w:lang w:val="en-US" w:eastAsia="zh-CN"/>
        </w:rPr>
        <w:t>2024年6月19日17:00</w:t>
      </w:r>
      <w:r>
        <w:rPr>
          <w:rFonts w:hint="eastAsia" w:ascii="仿宋" w:hAnsi="仿宋" w:eastAsia="仿宋" w:cs="仿宋"/>
          <w:color w:val="555555"/>
          <w:kern w:val="0"/>
          <w:sz w:val="32"/>
          <w:szCs w:val="32"/>
          <w:lang w:val="en-US" w:eastAsia="zh-CN"/>
        </w:rPr>
        <w:t>之前将资料送至乐山市五通桥区人民医院采购办（行政楼三楼楼梯处），在截至时间以后送到的响应文件将被拒绝并退还给供应商。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1.方案报价在60日内有效，报价包括供应商履约过程中的服务费、人工、差旅、保险、税金与供应商履约所需要的其他所有费用。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2.在供应商满足相关资质要求及服务要求的条件下，采购采用</w:t>
      </w:r>
      <w:r>
        <w:rPr>
          <w:rFonts w:hint="eastAsia" w:ascii="仿宋" w:hAnsi="仿宋" w:eastAsia="仿宋" w:cs="仿宋"/>
          <w:color w:val="FF0000"/>
          <w:kern w:val="0"/>
          <w:sz w:val="32"/>
          <w:szCs w:val="32"/>
          <w:lang w:val="en-US" w:eastAsia="zh-CN"/>
        </w:rPr>
        <w:t>最低价评分法</w:t>
      </w:r>
      <w:r>
        <w:rPr>
          <w:rFonts w:hint="eastAsia" w:ascii="仿宋" w:hAnsi="仿宋" w:eastAsia="仿宋" w:cs="仿宋"/>
          <w:color w:val="555555"/>
          <w:kern w:val="0"/>
          <w:sz w:val="32"/>
          <w:szCs w:val="32"/>
          <w:lang w:val="en-US" w:eastAsia="zh-CN"/>
        </w:rPr>
        <w:t>，中标结果由医院网站公示，中标公司请在公示后30日内到采购办签订合同，超过公示后30日不响应签订合同的视为放弃中标资格。</w:t>
      </w:r>
    </w:p>
    <w:p>
      <w:pPr>
        <w:pStyle w:val="15"/>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3.本项目不接受联合体，不允许分包。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采购文件</w:t>
      </w:r>
      <w:r>
        <w:rPr>
          <w:rFonts w:hint="eastAsia" w:ascii="仿宋" w:hAnsi="仿宋" w:eastAsia="仿宋" w:cs="仿宋"/>
          <w:color w:val="555555"/>
          <w:kern w:val="0"/>
          <w:sz w:val="32"/>
          <w:szCs w:val="32"/>
        </w:rPr>
        <w:t>:</w:t>
      </w:r>
      <w:r>
        <w:rPr>
          <w:rFonts w:hint="eastAsia" w:ascii="仿宋" w:hAnsi="仿宋" w:eastAsia="仿宋" w:cs="仿宋"/>
          <w:color w:val="FF0000"/>
          <w:kern w:val="0"/>
          <w:sz w:val="32"/>
          <w:szCs w:val="32"/>
          <w:lang w:eastAsia="zh-CN"/>
        </w:rPr>
        <w:t>徐老师</w:t>
      </w:r>
      <w:r>
        <w:rPr>
          <w:rFonts w:hint="eastAsia" w:ascii="仿宋" w:hAnsi="仿宋" w:eastAsia="仿宋" w:cs="仿宋"/>
          <w:color w:val="FF0000"/>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电话:</w:t>
      </w:r>
      <w:r>
        <w:rPr>
          <w:rFonts w:hint="eastAsia" w:ascii="仿宋" w:hAnsi="仿宋" w:eastAsia="仿宋" w:cs="仿宋"/>
          <w:color w:val="555555"/>
          <w:kern w:val="0"/>
          <w:sz w:val="32"/>
          <w:szCs w:val="32"/>
          <w:lang w:val="en-US" w:eastAsia="zh-CN"/>
        </w:rPr>
        <w:t>0833-3211269</w:t>
      </w:r>
    </w:p>
    <w:p>
      <w:pPr>
        <w:ind w:firstLine="640" w:firstLineChars="200"/>
        <w:rPr>
          <w:rFonts w:hint="eastAsia" w:ascii="黑体" w:hAnsi="黑体" w:eastAsia="黑体" w:cs="黑体"/>
          <w:b/>
          <w:bCs/>
          <w:color w:val="auto"/>
          <w:sz w:val="72"/>
          <w:szCs w:val="72"/>
          <w:lang w:val="en-US" w:eastAsia="zh-CN"/>
        </w:rPr>
      </w:pPr>
      <w:r>
        <w:rPr>
          <w:rFonts w:hint="eastAsia" w:ascii="仿宋" w:hAnsi="仿宋" w:eastAsia="仿宋" w:cs="仿宋"/>
          <w:color w:val="555555"/>
          <w:kern w:val="0"/>
          <w:sz w:val="32"/>
          <w:szCs w:val="32"/>
          <w:lang w:val="en-US" w:eastAsia="zh-CN"/>
        </w:rPr>
        <w:t>项目联系人</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val="en-US" w:eastAsia="zh-CN"/>
        </w:rPr>
        <w:t>赵老师      电话:0833-3358526</w:t>
      </w: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6"/>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0"/>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项目参照《中华人民共和国政府采购法》《四川省政府采购非招标采购方式实施办法》等有关法律、法规和规章，通过</w:t>
      </w:r>
      <w:r>
        <w:rPr>
          <w:rFonts w:hint="eastAsia" w:ascii="仿宋" w:hAnsi="仿宋" w:eastAsia="仿宋" w:cs="仿宋"/>
          <w:color w:val="FF0000"/>
          <w:sz w:val="32"/>
          <w:szCs w:val="32"/>
          <w:lang w:val="en-US" w:eastAsia="zh-CN"/>
        </w:rPr>
        <w:t>最低价评分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”，“询价响应文件”，“于   年  月  日  时  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FF0000"/>
          <w:sz w:val="32"/>
          <w:szCs w:val="32"/>
          <w:lang w:val="en-US" w:eastAsia="zh-CN"/>
        </w:rPr>
        <w:t>价格最低</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FF0000"/>
          <w:sz w:val="32"/>
          <w:szCs w:val="32"/>
          <w:lang w:val="en-US" w:eastAsia="zh-CN"/>
        </w:rPr>
        <w:t>价格最低</w:t>
      </w:r>
      <w:r>
        <w:rPr>
          <w:rFonts w:hint="eastAsia" w:ascii="仿宋" w:hAnsi="仿宋" w:eastAsia="仿宋" w:cs="仿宋"/>
          <w:color w:val="000000"/>
          <w:sz w:val="32"/>
          <w:szCs w:val="32"/>
        </w:rPr>
        <w:t>原则确定成交供应商。</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6"/>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询价、采购、谈判、遴选文件</w:t>
      </w:r>
    </w:p>
    <w:p>
      <w:pPr>
        <w:rPr>
          <w:rFonts w:hint="eastAsia" w:ascii="黑体" w:hAnsi="黑体" w:eastAsia="黑体" w:cs="黑体"/>
          <w:sz w:val="84"/>
          <w:szCs w:val="84"/>
          <w:lang w:val="en-US" w:eastAsia="zh-CN"/>
        </w:rPr>
      </w:pPr>
    </w:p>
    <w:p>
      <w:pPr>
        <w:pStyle w:val="6"/>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pPr>
        <w:widowControl w:val="0"/>
        <w:adjustRightInd/>
        <w:spacing w:line="360" w:lineRule="auto"/>
        <w:ind w:firstLine="315" w:firstLineChars="98"/>
        <w:rPr>
          <w:rFonts w:hint="eastAsia" w:ascii="黑体" w:hAnsi="黑体" w:eastAsia="黑体" w:cs="黑体"/>
          <w:b/>
          <w:bCs/>
          <w:sz w:val="32"/>
          <w:szCs w:val="32"/>
        </w:rPr>
      </w:pPr>
    </w:p>
    <w:p>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pPr>
        <w:rPr>
          <w:rFonts w:hint="eastAsia" w:ascii="黑体" w:hAnsi="黑体" w:eastAsia="黑体" w:cs="黑体"/>
          <w:b/>
          <w:bCs/>
          <w:sz w:val="32"/>
          <w:szCs w:val="32"/>
        </w:rPr>
      </w:pPr>
      <w:bookmarkStart w:id="0" w:name="_Toc25737"/>
      <w:bookmarkStart w:id="1" w:name="_Toc18458"/>
      <w:bookmarkStart w:id="2" w:name="_Toc9490"/>
      <w:bookmarkStart w:id="3" w:name="_Toc5773"/>
      <w:r>
        <w:rPr>
          <w:rFonts w:hint="eastAsia" w:ascii="黑体" w:hAnsi="黑体" w:eastAsia="黑体" w:cs="黑体"/>
          <w:b/>
          <w:bCs/>
          <w:sz w:val="32"/>
          <w:szCs w:val="32"/>
        </w:rPr>
        <w:br w:type="page"/>
      </w:r>
    </w:p>
    <w:bookmarkEnd w:id="0"/>
    <w:bookmarkEnd w:id="1"/>
    <w:bookmarkEnd w:id="2"/>
    <w:bookmarkEnd w:id="3"/>
    <w:p>
      <w:pPr>
        <w:numPr>
          <w:ilvl w:val="0"/>
          <w:numId w:val="2"/>
        </w:numPr>
        <w:jc w:val="center"/>
        <w:rPr>
          <w:rFonts w:hint="eastAsia" w:ascii="黑体" w:hAnsi="黑体" w:eastAsia="黑体" w:cs="黑体"/>
          <w:b/>
          <w:sz w:val="36"/>
          <w:szCs w:val="36"/>
          <w:lang w:val="en-US" w:eastAsia="zh-CN"/>
        </w:rPr>
      </w:pPr>
      <w:bookmarkStart w:id="4" w:name="_Toc17549"/>
      <w:bookmarkStart w:id="5" w:name="_Toc12449"/>
      <w:bookmarkStart w:id="6" w:name="_Toc439699516"/>
      <w:bookmarkStart w:id="7" w:name="_Toc4003"/>
      <w:r>
        <w:rPr>
          <w:rFonts w:hint="eastAsia" w:ascii="黑体" w:hAnsi="黑体" w:eastAsia="黑体" w:cs="黑体"/>
          <w:b/>
          <w:sz w:val="36"/>
          <w:szCs w:val="36"/>
          <w:lang w:val="en-US" w:eastAsia="zh-CN"/>
        </w:rPr>
        <w:t>采购资质要求</w:t>
      </w:r>
    </w:p>
    <w:p>
      <w:pPr>
        <w:pStyle w:val="6"/>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6"/>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0"/>
        <w:gridCol w:w="1035"/>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2023年以来任意三个月的缴纳税收和社保资金证明材料（银行缴款证明或税收机关、社保机关盖章的证明文件）</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6</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具有国家行政主管部门颁发的《医疗机构执业许可证》复印件</w:t>
            </w:r>
          </w:p>
        </w:tc>
        <w:tc>
          <w:tcPr>
            <w:tcW w:w="512"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有效</w:t>
            </w:r>
          </w:p>
        </w:tc>
        <w:tc>
          <w:tcPr>
            <w:tcW w:w="840"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3175"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840"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r>
    </w:tbl>
    <w:p>
      <w:pPr>
        <w:pStyle w:val="6"/>
        <w:rPr>
          <w:rFonts w:hint="eastAsia" w:ascii="仿宋" w:hAnsi="仿宋" w:eastAsia="仿宋" w:cs="仿宋"/>
          <w:color w:val="auto"/>
          <w:sz w:val="30"/>
          <w:szCs w:val="30"/>
          <w:highlight w:val="none"/>
          <w:lang w:eastAsia="zh-CN"/>
        </w:rPr>
      </w:pPr>
    </w:p>
    <w:p>
      <w:pPr>
        <w:pStyle w:val="21"/>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6"/>
        <w:rPr>
          <w:rFonts w:hint="eastAsia"/>
          <w:lang w:eastAsia="zh-CN"/>
        </w:rPr>
      </w:pPr>
    </w:p>
    <w:p>
      <w:pPr>
        <w:pStyle w:val="6"/>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6"/>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6"/>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29"/>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6"/>
        <w:adjustRightInd w:val="0"/>
        <w:snapToGrid w:val="0"/>
        <w:spacing w:after="0" w:line="360" w:lineRule="auto"/>
        <w:ind w:firstLine="560" w:firstLineChars="200"/>
        <w:rPr>
          <w:rFonts w:hint="eastAsia" w:ascii="黑体" w:hAnsi="黑体" w:eastAsia="黑体" w:cs="黑体"/>
          <w:sz w:val="28"/>
          <w:szCs w:val="28"/>
          <w:lang w:eastAsia="zh-CN"/>
        </w:rPr>
      </w:pPr>
    </w:p>
    <w:p>
      <w:pPr>
        <w:pStyle w:val="6"/>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16184"/>
      <w:bookmarkStart w:id="9" w:name="_Toc199"/>
      <w:bookmarkStart w:id="10" w:name="_Toc1800"/>
      <w:bookmarkStart w:id="11" w:name="_Toc12426"/>
      <w:bookmarkStart w:id="12" w:name="_Toc439699522"/>
      <w:bookmarkStart w:id="13" w:name="_Toc1287"/>
      <w:bookmarkStart w:id="14" w:name="_Toc24199"/>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7"/>
        <w:spacing w:line="240" w:lineRule="auto"/>
        <w:ind w:firstLine="0"/>
        <w:rPr>
          <w:rFonts w:hint="eastAsia" w:ascii="仿宋" w:hAnsi="仿宋" w:eastAsia="仿宋" w:cs="仿宋"/>
          <w:color w:val="auto"/>
          <w:sz w:val="32"/>
          <w:szCs w:val="32"/>
        </w:rPr>
      </w:pPr>
    </w:p>
    <w:p>
      <w:pPr>
        <w:pStyle w:val="27"/>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4</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6"/>
        <w:rPr>
          <w:rFonts w:hint="eastAsia" w:ascii="黑体" w:hAnsi="黑体" w:eastAsia="黑体" w:cs="黑体"/>
          <w:lang w:val="en-US" w:eastAsia="zh-CN"/>
        </w:rPr>
      </w:pPr>
    </w:p>
    <w:p>
      <w:pPr>
        <w:pStyle w:val="15"/>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w:t>
      </w:r>
    </w:p>
    <w:p>
      <w:pPr>
        <w:pStyle w:val="15"/>
        <w:numPr>
          <w:ilvl w:val="0"/>
          <w:numId w:val="0"/>
        </w:numPr>
        <w:spacing w:line="240" w:lineRule="auto"/>
        <w:ind w:leftChars="0"/>
        <w:rPr>
          <w:rFonts w:hint="default"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 xml:space="preserve">    限价要求：供应商报价下浮比例报价大于50%，否则视为无效投标。</w:t>
      </w:r>
    </w:p>
    <w:tbl>
      <w:tblPr>
        <w:tblStyle w:val="17"/>
        <w:tblW w:w="0" w:type="auto"/>
        <w:tblInd w:w="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3450"/>
        <w:gridCol w:w="1950"/>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3450" w:type="dxa"/>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项目名称</w:t>
            </w:r>
          </w:p>
        </w:tc>
        <w:tc>
          <w:tcPr>
            <w:tcW w:w="1950" w:type="dxa"/>
          </w:tcPr>
          <w:p>
            <w:pPr>
              <w:pStyle w:val="15"/>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收费</w:t>
            </w:r>
          </w:p>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标准（元）</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性激素6项</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211</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骨髓涂片检查</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59</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ABO-Rh新生儿溶血病检测</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75</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高血压三项</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63</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血红蛋白成分分析</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100</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贫血三项</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79</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降钙素测定</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31</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抗核提取物抗体测定（抗ENA抗体）</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抗双链DNA测定（抗dsDNA）</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28</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抗核抗体（ANA）</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抗中性粒细胞胞浆抗体测定</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16</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抗线粒体抗体测定（AMA）</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α-地中海贫血基因检测</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140</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β-地中海贫血基因检测</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150</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15</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各种白介素测定（IL-6测定）</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72</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16</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葡萄糖6-磷酸脱氢酶活性检测</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17</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聚糖检测（真菌D-肽聚糖检测动态比浊法）</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110</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曲霉菌血清学试验</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19</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EB病毒抗体测定(IgM)</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40</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促甲状腺受体抗体</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21</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细菌内毒素</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23</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22</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总25-羟基维生素D</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23</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化学污染物22项（针对透析室的透析液）</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1500</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血红蛋白成分分析</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100</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25</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肺泡灌洗液，胸水，脑脊液NGS</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1200</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26</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肿瘤基因检测及PD-L1检测</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7650</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27</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血儿茶酚胺</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180</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color w:val="FF0000"/>
                <w:sz w:val="32"/>
                <w:szCs w:val="32"/>
                <w:vertAlign w:val="baseline"/>
                <w:lang w:val="en-US" w:eastAsia="zh-CN"/>
              </w:rPr>
            </w:pPr>
            <w:r>
              <w:rPr>
                <w:rFonts w:hint="eastAsia" w:ascii="仿宋" w:hAnsi="仿宋" w:eastAsia="仿宋" w:cs="仿宋"/>
                <w:color w:val="FF0000"/>
                <w:sz w:val="32"/>
                <w:szCs w:val="32"/>
                <w:vertAlign w:val="baseline"/>
                <w:lang w:val="en-US" w:eastAsia="zh-CN"/>
              </w:rPr>
              <w:t>28</w:t>
            </w:r>
          </w:p>
        </w:tc>
        <w:tc>
          <w:tcPr>
            <w:tcW w:w="3450" w:type="dxa"/>
            <w:vAlign w:val="center"/>
          </w:tcPr>
          <w:p>
            <w:pPr>
              <w:pStyle w:val="15"/>
              <w:numPr>
                <w:ilvl w:val="0"/>
                <w:numId w:val="0"/>
              </w:numPr>
              <w:spacing w:line="240" w:lineRule="auto"/>
              <w:rPr>
                <w:rFonts w:hint="default" w:ascii="仿宋" w:hAnsi="仿宋" w:eastAsia="仿宋" w:cs="仿宋"/>
                <w:color w:val="FF0000"/>
                <w:sz w:val="32"/>
                <w:szCs w:val="32"/>
                <w:vertAlign w:val="baseline"/>
                <w:lang w:val="en-US" w:eastAsia="zh-CN"/>
              </w:rPr>
            </w:pPr>
            <w:r>
              <w:rPr>
                <w:rFonts w:hint="eastAsia" w:ascii="仿宋" w:hAnsi="仿宋" w:eastAsia="仿宋" w:cs="仿宋"/>
                <w:color w:val="FF0000"/>
                <w:sz w:val="32"/>
                <w:szCs w:val="32"/>
                <w:vertAlign w:val="baseline"/>
                <w:lang w:val="en-US" w:eastAsia="zh-CN"/>
              </w:rPr>
              <w:t>尿儿茶酚胺</w:t>
            </w:r>
          </w:p>
        </w:tc>
        <w:tc>
          <w:tcPr>
            <w:tcW w:w="1950" w:type="dxa"/>
            <w:vAlign w:val="center"/>
          </w:tcPr>
          <w:p>
            <w:pPr>
              <w:pStyle w:val="15"/>
              <w:numPr>
                <w:ilvl w:val="0"/>
                <w:numId w:val="0"/>
              </w:numPr>
              <w:spacing w:line="240" w:lineRule="auto"/>
              <w:rPr>
                <w:rFonts w:hint="default" w:ascii="仿宋" w:hAnsi="仿宋" w:eastAsia="仿宋" w:cs="仿宋"/>
                <w:color w:val="FF0000"/>
                <w:sz w:val="32"/>
                <w:szCs w:val="32"/>
                <w:vertAlign w:val="baseline"/>
                <w:lang w:val="en-US" w:eastAsia="zh-CN"/>
              </w:rPr>
            </w:pPr>
            <w:r>
              <w:rPr>
                <w:rFonts w:hint="eastAsia" w:ascii="仿宋" w:hAnsi="仿宋" w:eastAsia="仿宋" w:cs="仿宋"/>
                <w:color w:val="FF0000"/>
                <w:sz w:val="32"/>
                <w:szCs w:val="32"/>
                <w:vertAlign w:val="baseline"/>
                <w:lang w:val="en-US" w:eastAsia="zh-CN"/>
              </w:rPr>
              <w:t>180</w:t>
            </w:r>
          </w:p>
        </w:tc>
        <w:tc>
          <w:tcPr>
            <w:tcW w:w="2961" w:type="dxa"/>
          </w:tcPr>
          <w:p>
            <w:pPr>
              <w:pStyle w:val="15"/>
              <w:numPr>
                <w:ilvl w:val="0"/>
                <w:numId w:val="0"/>
              </w:numPr>
              <w:spacing w:line="240" w:lineRule="auto"/>
              <w:rPr>
                <w:rFonts w:hint="default" w:ascii="仿宋" w:hAnsi="仿宋" w:eastAsia="仿宋" w:cs="仿宋"/>
                <w:color w:val="FF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29</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高血压四项</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79</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30</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ACTH</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31</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31</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皮质醇</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21</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32</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地中海贫血基因检测</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290</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33</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丙肝病毒RNA定量</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60</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34</w:t>
            </w:r>
          </w:p>
        </w:tc>
        <w:tc>
          <w:tcPr>
            <w:tcW w:w="34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百日咳杆菌核酸检测</w:t>
            </w:r>
          </w:p>
        </w:tc>
        <w:tc>
          <w:tcPr>
            <w:tcW w:w="1950" w:type="dxa"/>
            <w:vAlign w:val="center"/>
          </w:tcPr>
          <w:p>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16</w:t>
            </w:r>
          </w:p>
        </w:tc>
        <w:tc>
          <w:tcPr>
            <w:tcW w:w="2961" w:type="dxa"/>
          </w:tcPr>
          <w:p>
            <w:pPr>
              <w:pStyle w:val="15"/>
              <w:numPr>
                <w:ilvl w:val="0"/>
                <w:numId w:val="0"/>
              </w:numPr>
              <w:spacing w:line="240" w:lineRule="auto"/>
              <w:rPr>
                <w:rFonts w:hint="default" w:ascii="仿宋" w:hAnsi="仿宋" w:eastAsia="仿宋" w:cs="仿宋"/>
                <w:sz w:val="32"/>
                <w:szCs w:val="32"/>
                <w:vertAlign w:val="baseline"/>
                <w:lang w:val="en-US" w:eastAsia="zh-CN"/>
              </w:rPr>
            </w:pPr>
          </w:p>
        </w:tc>
      </w:tr>
    </w:tbl>
    <w:p>
      <w:pPr>
        <w:pStyle w:val="15"/>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注：不限于目录内的检验项目，业主可根据临床需要进行增减。</w:t>
      </w:r>
    </w:p>
    <w:p>
      <w:pPr>
        <w:pStyle w:val="15"/>
        <w:numPr>
          <w:ilvl w:val="0"/>
          <w:numId w:val="0"/>
        </w:numPr>
        <w:spacing w:line="240" w:lineRule="auto"/>
        <w:rPr>
          <w:rFonts w:hint="eastAsia" w:ascii="仿宋" w:hAnsi="仿宋" w:eastAsia="仿宋" w:cs="仿宋"/>
          <w:sz w:val="32"/>
          <w:szCs w:val="32"/>
          <w:vertAlign w:val="baseline"/>
          <w:lang w:val="en-US" w:eastAsia="zh-CN"/>
        </w:rPr>
      </w:pPr>
    </w:p>
    <w:p>
      <w:pPr>
        <w:pStyle w:val="15"/>
        <w:numPr>
          <w:ilvl w:val="0"/>
          <w:numId w:val="0"/>
        </w:numPr>
        <w:spacing w:line="240" w:lineRule="auto"/>
        <w:ind w:leftChars="0"/>
        <w:rPr>
          <w:rFonts w:hint="eastAsia" w:ascii="仿宋" w:hAnsi="仿宋" w:eastAsia="仿宋" w:cs="仿宋"/>
          <w:sz w:val="32"/>
          <w:szCs w:val="32"/>
          <w:lang w:val="en-US" w:eastAsia="zh-CN"/>
        </w:rPr>
      </w:pPr>
    </w:p>
    <w:p>
      <w:pPr>
        <w:pStyle w:val="15"/>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商务要求（实质性要求）：</w:t>
      </w:r>
    </w:p>
    <w:p>
      <w:pPr>
        <w:pStyle w:val="15"/>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时间：标本的收集和报告的处理：急诊标本在成交方接到采购人电话通知后30分钟内到达指定地点收取，标本在送达实验室后1小时内出具检验结果，电话通知采购人科室并上传报告。普通标本需按照采购人要求每天准时进行收集，且在送达实验室后的第2天上班前完成报告的上传工作。</w:t>
      </w:r>
    </w:p>
    <w:p>
      <w:pPr>
        <w:pStyle w:val="15"/>
        <w:numPr>
          <w:ilvl w:val="0"/>
          <w:numId w:val="3"/>
        </w:numPr>
        <w:spacing w:line="240" w:lineRule="auto"/>
        <w:ind w:left="-8" w:leftChars="-4"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服务期限：合同一年一签，一年结束后双方友好协商可续签合同，最长合同服务期限不超过3年。</w:t>
      </w:r>
    </w:p>
    <w:p>
      <w:pPr>
        <w:pStyle w:val="15"/>
        <w:numPr>
          <w:ilvl w:val="0"/>
          <w:numId w:val="3"/>
        </w:numPr>
        <w:spacing w:line="24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服务要求：</w:t>
      </w:r>
    </w:p>
    <w:p>
      <w:pPr>
        <w:pStyle w:val="15"/>
        <w:numPr>
          <w:ilvl w:val="0"/>
          <w:numId w:val="0"/>
        </w:numPr>
        <w:spacing w:line="24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本次采购的所有常规检验项目需在供应商实验室内完成不得转送其他实验室。</w:t>
      </w:r>
    </w:p>
    <w:p>
      <w:pPr>
        <w:pStyle w:val="15"/>
        <w:numPr>
          <w:ilvl w:val="0"/>
          <w:numId w:val="0"/>
        </w:numPr>
        <w:spacing w:line="240" w:lineRule="auto"/>
        <w:ind w:left="-10" w:leftChars="-5"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供应商实验室检测到危急值时在经过复核后应及时通知到采购人具体科室人员并作好记录。</w:t>
      </w:r>
    </w:p>
    <w:p>
      <w:pPr>
        <w:pStyle w:val="15"/>
        <w:numPr>
          <w:ilvl w:val="0"/>
          <w:numId w:val="0"/>
        </w:numPr>
        <w:spacing w:line="240" w:lineRule="auto"/>
        <w:ind w:left="63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采购人有增加或减少相应的检测项目的权利。</w:t>
      </w:r>
    </w:p>
    <w:p>
      <w:pPr>
        <w:pStyle w:val="15"/>
        <w:numPr>
          <w:ilvl w:val="0"/>
          <w:numId w:val="0"/>
        </w:numPr>
        <w:spacing w:line="240" w:lineRule="auto"/>
        <w:ind w:left="59" w:leftChars="28" w:firstLine="572" w:firstLineChars="17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成交后可根据采购人的需要，定期向采购人的相关工作人员免费提供培训（需提供方案）。</w:t>
      </w:r>
    </w:p>
    <w:p>
      <w:pPr>
        <w:pStyle w:val="15"/>
        <w:numPr>
          <w:ilvl w:val="0"/>
          <w:numId w:val="0"/>
        </w:numPr>
        <w:spacing w:line="240" w:lineRule="auto"/>
        <w:ind w:left="63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成交人应对所提供的设备须证照齐全且保持完好可使用状态</w:t>
      </w:r>
    </w:p>
    <w:p>
      <w:pPr>
        <w:pStyle w:val="15"/>
        <w:numPr>
          <w:ilvl w:val="0"/>
          <w:numId w:val="3"/>
        </w:numPr>
        <w:spacing w:line="240" w:lineRule="auto"/>
        <w:ind w:left="0" w:leftChars="0" w:firstLine="57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履约要求：成交人应承诺对出具的检测报告的所有内容（包括但不限于：真实性、准确性）承担相应的法律责任。</w:t>
      </w:r>
    </w:p>
    <w:p>
      <w:pPr>
        <w:pStyle w:val="15"/>
        <w:numPr>
          <w:ilvl w:val="0"/>
          <w:numId w:val="0"/>
        </w:numPr>
        <w:spacing w:line="240" w:lineRule="auto"/>
        <w:ind w:left="-8" w:leftChars="-4"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供应商需承诺成交后，在检验活动中对检验的信息进行保密，在没有获得采购人的书面同意，不得向第三方透露检验的所有信息，并与采购人签订保密协议。</w:t>
      </w:r>
    </w:p>
    <w:p>
      <w:pPr>
        <w:pStyle w:val="15"/>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本次采购为单价采购，每月核对工作量后，按成交单价以实际发生数量结算检测费用，次月滚动支付发生费用。采购人有权根据实际情况对所需检测内容进行调整；但合同期内实际结算总费用，不得超过采购总预算的10%。</w:t>
      </w:r>
    </w:p>
    <w:p>
      <w:pPr>
        <w:pStyle w:val="15"/>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pPr>
        <w:rPr>
          <w:rFonts w:hint="eastAsia" w:ascii="黑体" w:hAnsi="黑体" w:eastAsia="黑体" w:cs="黑体"/>
          <w:lang w:eastAsia="zh-CN"/>
        </w:rPr>
      </w:pPr>
      <w:r>
        <w:rPr>
          <w:rFonts w:hint="eastAsia" w:ascii="黑体" w:hAnsi="黑体" w:eastAsia="黑体" w:cs="黑体"/>
          <w:lang w:eastAsia="zh-CN"/>
        </w:rPr>
        <w:br w:type="page"/>
      </w:r>
    </w:p>
    <w:p>
      <w:pPr>
        <w:pStyle w:val="15"/>
        <w:rPr>
          <w:rFonts w:hint="eastAsia" w:ascii="黑体" w:hAnsi="黑体" w:eastAsia="黑体" w:cs="黑体"/>
          <w:lang w:eastAsia="zh-CN"/>
        </w:rPr>
      </w:pPr>
    </w:p>
    <w:p>
      <w:pPr>
        <w:pStyle w:val="6"/>
        <w:rPr>
          <w:rFonts w:hint="eastAsia" w:ascii="黑体" w:hAnsi="黑体" w:eastAsia="黑体" w:cs="黑体"/>
          <w:lang w:eastAsia="zh-CN"/>
        </w:rPr>
      </w:pPr>
    </w:p>
    <w:p>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VmZThjMzNiOWMyOWMxMTEwM2ZiOGYwYzY1NzgifQ=="/>
  </w:docVars>
  <w:rsids>
    <w:rsidRoot w:val="20B86F62"/>
    <w:rsid w:val="00FE51BA"/>
    <w:rsid w:val="01724615"/>
    <w:rsid w:val="01AC44D5"/>
    <w:rsid w:val="01DA1F83"/>
    <w:rsid w:val="02653FAC"/>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07506E"/>
    <w:rsid w:val="09281C73"/>
    <w:rsid w:val="092B0852"/>
    <w:rsid w:val="0A5766D2"/>
    <w:rsid w:val="0B5B6EA7"/>
    <w:rsid w:val="0B9B184D"/>
    <w:rsid w:val="0BBF2600"/>
    <w:rsid w:val="0C3E61B9"/>
    <w:rsid w:val="0DA12370"/>
    <w:rsid w:val="0DBF0EC4"/>
    <w:rsid w:val="0DE40DBE"/>
    <w:rsid w:val="0E672DB3"/>
    <w:rsid w:val="0E904937"/>
    <w:rsid w:val="0E9E1831"/>
    <w:rsid w:val="0EAB0093"/>
    <w:rsid w:val="0F225786"/>
    <w:rsid w:val="0FCE2C6B"/>
    <w:rsid w:val="107F49DA"/>
    <w:rsid w:val="11103FB2"/>
    <w:rsid w:val="11106DD4"/>
    <w:rsid w:val="113065C7"/>
    <w:rsid w:val="11551C0D"/>
    <w:rsid w:val="11630C29"/>
    <w:rsid w:val="12374305"/>
    <w:rsid w:val="12AB3D92"/>
    <w:rsid w:val="132D67B3"/>
    <w:rsid w:val="13320F8E"/>
    <w:rsid w:val="13E72023"/>
    <w:rsid w:val="159705C2"/>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DE81A96"/>
    <w:rsid w:val="1E4521C9"/>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1D5FEB"/>
    <w:rsid w:val="2333299E"/>
    <w:rsid w:val="23B92E0F"/>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7F0F"/>
    <w:rsid w:val="31AE2E30"/>
    <w:rsid w:val="32145B6C"/>
    <w:rsid w:val="32482F63"/>
    <w:rsid w:val="32887A79"/>
    <w:rsid w:val="3367096B"/>
    <w:rsid w:val="34015BA1"/>
    <w:rsid w:val="34104944"/>
    <w:rsid w:val="34607C42"/>
    <w:rsid w:val="34AD3121"/>
    <w:rsid w:val="35850C85"/>
    <w:rsid w:val="358537EA"/>
    <w:rsid w:val="36206E51"/>
    <w:rsid w:val="3645059F"/>
    <w:rsid w:val="36FA0C0E"/>
    <w:rsid w:val="37564C34"/>
    <w:rsid w:val="37AF0C3F"/>
    <w:rsid w:val="381338B3"/>
    <w:rsid w:val="387820A1"/>
    <w:rsid w:val="391D2725"/>
    <w:rsid w:val="39241426"/>
    <w:rsid w:val="3966747D"/>
    <w:rsid w:val="3A0A5821"/>
    <w:rsid w:val="3AE30FAC"/>
    <w:rsid w:val="3B3A67B9"/>
    <w:rsid w:val="3B572D45"/>
    <w:rsid w:val="3BB47094"/>
    <w:rsid w:val="3BD82555"/>
    <w:rsid w:val="3C396CD8"/>
    <w:rsid w:val="3D912EF9"/>
    <w:rsid w:val="3DA25E25"/>
    <w:rsid w:val="3E103198"/>
    <w:rsid w:val="3E5C675F"/>
    <w:rsid w:val="3EBE1131"/>
    <w:rsid w:val="3F541632"/>
    <w:rsid w:val="4003626C"/>
    <w:rsid w:val="410C5355"/>
    <w:rsid w:val="414379EB"/>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B21070C"/>
    <w:rsid w:val="4C6D260E"/>
    <w:rsid w:val="4CA65850"/>
    <w:rsid w:val="4D4867BB"/>
    <w:rsid w:val="4D7854C0"/>
    <w:rsid w:val="4E1C022A"/>
    <w:rsid w:val="4E1E1D89"/>
    <w:rsid w:val="4E802F63"/>
    <w:rsid w:val="4FA771C2"/>
    <w:rsid w:val="4FDC7DDA"/>
    <w:rsid w:val="5003209D"/>
    <w:rsid w:val="500F3968"/>
    <w:rsid w:val="508E2B4E"/>
    <w:rsid w:val="524A480D"/>
    <w:rsid w:val="5263348D"/>
    <w:rsid w:val="527E7420"/>
    <w:rsid w:val="5292301A"/>
    <w:rsid w:val="52C10CD7"/>
    <w:rsid w:val="52F64CB8"/>
    <w:rsid w:val="52FB39A7"/>
    <w:rsid w:val="531641E9"/>
    <w:rsid w:val="5446604D"/>
    <w:rsid w:val="547E1AE0"/>
    <w:rsid w:val="54F554AC"/>
    <w:rsid w:val="551A0D5D"/>
    <w:rsid w:val="55EE4C06"/>
    <w:rsid w:val="561A148B"/>
    <w:rsid w:val="565B213D"/>
    <w:rsid w:val="56D444B4"/>
    <w:rsid w:val="572D0183"/>
    <w:rsid w:val="57567F4A"/>
    <w:rsid w:val="57667B7B"/>
    <w:rsid w:val="578D66D2"/>
    <w:rsid w:val="580A2903"/>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DA41796"/>
    <w:rsid w:val="5DC167D7"/>
    <w:rsid w:val="5F0E08C6"/>
    <w:rsid w:val="5F5075CA"/>
    <w:rsid w:val="5F7007A2"/>
    <w:rsid w:val="5F85487D"/>
    <w:rsid w:val="5FB650D9"/>
    <w:rsid w:val="6096215E"/>
    <w:rsid w:val="60DB0552"/>
    <w:rsid w:val="62B86D17"/>
    <w:rsid w:val="62C824CA"/>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F16575"/>
    <w:rsid w:val="69FE6269"/>
    <w:rsid w:val="6B110ED0"/>
    <w:rsid w:val="6B3D74AC"/>
    <w:rsid w:val="6BF5199F"/>
    <w:rsid w:val="6C81461E"/>
    <w:rsid w:val="6CE610BF"/>
    <w:rsid w:val="6CED312F"/>
    <w:rsid w:val="6D1916FD"/>
    <w:rsid w:val="6D226C43"/>
    <w:rsid w:val="6D535020"/>
    <w:rsid w:val="6DCF5925"/>
    <w:rsid w:val="6E383ABA"/>
    <w:rsid w:val="6E8B493F"/>
    <w:rsid w:val="6EA3545A"/>
    <w:rsid w:val="6F9F7F7D"/>
    <w:rsid w:val="719A4F83"/>
    <w:rsid w:val="71DE50A5"/>
    <w:rsid w:val="722B548E"/>
    <w:rsid w:val="722E4AEA"/>
    <w:rsid w:val="73683978"/>
    <w:rsid w:val="73F43F5E"/>
    <w:rsid w:val="7438150C"/>
    <w:rsid w:val="74584059"/>
    <w:rsid w:val="746F037C"/>
    <w:rsid w:val="74802750"/>
    <w:rsid w:val="74F82EAA"/>
    <w:rsid w:val="75457DB7"/>
    <w:rsid w:val="7563067A"/>
    <w:rsid w:val="75E55D62"/>
    <w:rsid w:val="76466533"/>
    <w:rsid w:val="77F97E1C"/>
    <w:rsid w:val="785111E8"/>
    <w:rsid w:val="78E831F4"/>
    <w:rsid w:val="79AC141B"/>
    <w:rsid w:val="79B51E35"/>
    <w:rsid w:val="79EA27D4"/>
    <w:rsid w:val="7AE23540"/>
    <w:rsid w:val="7C29457B"/>
    <w:rsid w:val="7CE9423F"/>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4">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9628"/>
      </w:tabs>
      <w:spacing w:line="360" w:lineRule="auto"/>
      <w:jc w:val="center"/>
    </w:pPr>
  </w:style>
  <w:style w:type="paragraph" w:styleId="6">
    <w:name w:val="Body Text"/>
    <w:basedOn w:val="1"/>
    <w:next w:val="1"/>
    <w:qFormat/>
    <w:uiPriority w:val="0"/>
    <w:pPr>
      <w:spacing w:after="120" w:afterLines="0" w:afterAutospacing="0"/>
    </w:p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6"/>
    <w:qFormat/>
    <w:uiPriority w:val="0"/>
    <w:pPr>
      <w:ind w:firstLine="420" w:firstLineChars="100"/>
    </w:pPr>
    <w:rPr>
      <w:rFonts w:ascii="Times New Roman" w:hAnsi="Times New Roman" w:eastAsia="宋体" w:cs="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0"/>
    <w:rPr>
      <w:color w:val="0000FF"/>
      <w:u w:val="single"/>
    </w:rPr>
  </w:style>
  <w:style w:type="paragraph" w:styleId="21">
    <w:name w:val="Quote"/>
    <w:basedOn w:val="1"/>
    <w:next w:val="1"/>
    <w:qFormat/>
    <w:uiPriority w:val="0"/>
    <w:rPr>
      <w:i/>
      <w:iCs/>
      <w:color w:val="000000"/>
      <w:szCs w:val="22"/>
    </w:rPr>
  </w:style>
  <w:style w:type="character" w:customStyle="1" w:styleId="22">
    <w:name w:val="标题 1 Char"/>
    <w:link w:val="3"/>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8"/>
    <w:qFormat/>
    <w:uiPriority w:val="0"/>
    <w:rPr>
      <w:rFonts w:ascii="Calibri" w:hAnsi="Calibri" w:cs="Calibri"/>
      <w:color w:val="000000"/>
      <w:sz w:val="18"/>
      <w:szCs w:val="18"/>
      <w:u w:val="none"/>
    </w:rPr>
  </w:style>
  <w:style w:type="character" w:customStyle="1" w:styleId="25">
    <w:name w:val="font01"/>
    <w:basedOn w:val="18"/>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15</Pages>
  <Words>6157</Words>
  <Characters>6445</Characters>
  <Lines>0</Lines>
  <Paragraphs>0</Paragraphs>
  <TotalTime>4</TotalTime>
  <ScaleCrop>false</ScaleCrop>
  <LinksUpToDate>false</LinksUpToDate>
  <CharactersWithSpaces>6635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徐驰</cp:lastModifiedBy>
  <cp:lastPrinted>2019-09-23T08:20:00Z</cp:lastPrinted>
  <dcterms:modified xsi:type="dcterms:W3CDTF">2024-06-14T00:46:14Z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6F48A25E1CA9488A9F55693863D49B3D</vt:lpwstr>
  </property>
</Properties>
</file>