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740D">
      <w:pPr>
        <w:jc w:val="center"/>
        <w:rPr>
          <w:rFonts w:hint="eastAsia" w:ascii="黑体" w:hAnsi="黑体" w:eastAsia="黑体" w:cs="黑体"/>
          <w:sz w:val="32"/>
          <w:szCs w:val="32"/>
          <w:lang w:eastAsia="zh-CN"/>
        </w:rPr>
      </w:pPr>
    </w:p>
    <w:p w14:paraId="6507D49A">
      <w:pPr>
        <w:jc w:val="center"/>
        <w:rPr>
          <w:rFonts w:hint="eastAsia" w:ascii="黑体" w:hAnsi="黑体" w:eastAsia="黑体" w:cs="黑体"/>
          <w:sz w:val="32"/>
          <w:szCs w:val="32"/>
          <w:lang w:eastAsia="zh-CN"/>
        </w:rPr>
      </w:pPr>
    </w:p>
    <w:p w14:paraId="3C2E7820">
      <w:pPr>
        <w:jc w:val="center"/>
        <w:rPr>
          <w:rFonts w:hint="eastAsia" w:ascii="黑体" w:hAnsi="黑体" w:eastAsia="黑体" w:cs="黑体"/>
          <w:sz w:val="32"/>
          <w:szCs w:val="32"/>
          <w:lang w:eastAsia="zh-CN"/>
        </w:rPr>
      </w:pPr>
    </w:p>
    <w:p w14:paraId="105B5C8B">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61E31735">
      <w:pPr>
        <w:pStyle w:val="7"/>
        <w:rPr>
          <w:rFonts w:hint="eastAsia" w:ascii="黑体" w:hAnsi="黑体" w:eastAsia="黑体" w:cs="黑体"/>
          <w:lang w:eastAsia="zh-CN"/>
        </w:rPr>
      </w:pPr>
    </w:p>
    <w:p w14:paraId="2C63F38F">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采购</w:t>
      </w:r>
      <w:r>
        <w:rPr>
          <w:rFonts w:hint="eastAsia" w:ascii="黑体" w:hAnsi="黑体" w:eastAsia="黑体" w:cs="黑体"/>
          <w:sz w:val="52"/>
          <w:szCs w:val="52"/>
          <w:lang w:eastAsia="zh-CN"/>
        </w:rPr>
        <w:t>文件</w:t>
      </w:r>
    </w:p>
    <w:p w14:paraId="796DBF0D">
      <w:pPr>
        <w:jc w:val="center"/>
        <w:rPr>
          <w:rFonts w:hint="eastAsia" w:ascii="黑体" w:hAnsi="黑体" w:eastAsia="黑体" w:cs="黑体"/>
          <w:sz w:val="32"/>
          <w:szCs w:val="32"/>
          <w:lang w:eastAsia="zh-CN"/>
        </w:rPr>
      </w:pPr>
    </w:p>
    <w:p w14:paraId="30BD5302">
      <w:pPr>
        <w:jc w:val="center"/>
        <w:rPr>
          <w:rFonts w:hint="eastAsia" w:ascii="黑体" w:hAnsi="黑体" w:eastAsia="黑体" w:cs="黑体"/>
          <w:sz w:val="32"/>
          <w:szCs w:val="32"/>
          <w:lang w:eastAsia="zh-CN"/>
        </w:rPr>
      </w:pPr>
    </w:p>
    <w:p w14:paraId="709C9428">
      <w:pPr>
        <w:pStyle w:val="8"/>
        <w:rPr>
          <w:rFonts w:hint="eastAsia" w:ascii="黑体" w:hAnsi="黑体" w:eastAsia="黑体" w:cs="黑体"/>
          <w:sz w:val="32"/>
          <w:szCs w:val="32"/>
          <w:lang w:eastAsia="zh-CN"/>
        </w:rPr>
      </w:pPr>
    </w:p>
    <w:p w14:paraId="5299F35E">
      <w:pPr>
        <w:pStyle w:val="8"/>
        <w:rPr>
          <w:rFonts w:hint="eastAsia" w:ascii="黑体" w:hAnsi="黑体" w:eastAsia="黑体" w:cs="黑体"/>
          <w:sz w:val="32"/>
          <w:szCs w:val="32"/>
          <w:lang w:eastAsia="zh-CN"/>
        </w:rPr>
      </w:pPr>
    </w:p>
    <w:p w14:paraId="59E28E04">
      <w:pPr>
        <w:pStyle w:val="8"/>
        <w:rPr>
          <w:rFonts w:hint="eastAsia" w:ascii="黑体" w:hAnsi="黑体" w:eastAsia="黑体" w:cs="黑体"/>
          <w:sz w:val="32"/>
          <w:szCs w:val="32"/>
          <w:lang w:eastAsia="zh-CN"/>
        </w:rPr>
      </w:pPr>
    </w:p>
    <w:p w14:paraId="36069BAF">
      <w:pPr>
        <w:pStyle w:val="8"/>
        <w:rPr>
          <w:rFonts w:hint="eastAsia" w:ascii="黑体" w:hAnsi="黑体" w:eastAsia="黑体" w:cs="黑体"/>
          <w:sz w:val="32"/>
          <w:szCs w:val="32"/>
          <w:lang w:eastAsia="zh-CN"/>
        </w:rPr>
      </w:pPr>
    </w:p>
    <w:p w14:paraId="1A8DF231">
      <w:pPr>
        <w:pStyle w:val="8"/>
        <w:rPr>
          <w:rFonts w:hint="eastAsia" w:ascii="黑体" w:hAnsi="黑体" w:eastAsia="黑体" w:cs="黑体"/>
          <w:sz w:val="40"/>
          <w:szCs w:val="40"/>
          <w:lang w:eastAsia="zh-CN"/>
        </w:rPr>
      </w:pPr>
    </w:p>
    <w:p w14:paraId="1337975F">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CT/DR干式片塑料包装袋</w:t>
      </w:r>
    </w:p>
    <w:p w14:paraId="35A3CED3">
      <w:pPr>
        <w:pStyle w:val="7"/>
        <w:rPr>
          <w:rFonts w:hint="eastAsia" w:ascii="黑体" w:hAnsi="黑体" w:eastAsia="黑体" w:cs="黑体"/>
          <w:lang w:val="en-US" w:eastAsia="zh-CN"/>
        </w:rPr>
      </w:pPr>
    </w:p>
    <w:p w14:paraId="77D5174A">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YNCG2024009</w:t>
      </w:r>
    </w:p>
    <w:p w14:paraId="1B81B7EB">
      <w:pPr>
        <w:jc w:val="center"/>
        <w:rPr>
          <w:rFonts w:hint="eastAsia" w:ascii="黑体" w:hAnsi="黑体" w:eastAsia="黑体" w:cs="黑体"/>
          <w:sz w:val="40"/>
          <w:szCs w:val="40"/>
          <w:lang w:eastAsia="zh-CN"/>
        </w:rPr>
      </w:pPr>
    </w:p>
    <w:p w14:paraId="1DC90E12">
      <w:pPr>
        <w:jc w:val="center"/>
        <w:rPr>
          <w:rFonts w:hint="eastAsia" w:ascii="黑体" w:hAnsi="黑体" w:eastAsia="黑体" w:cs="黑体"/>
          <w:sz w:val="40"/>
          <w:szCs w:val="40"/>
          <w:lang w:eastAsia="zh-CN"/>
        </w:rPr>
      </w:pPr>
    </w:p>
    <w:p w14:paraId="66E39A3C">
      <w:pPr>
        <w:jc w:val="center"/>
        <w:rPr>
          <w:rFonts w:hint="eastAsia" w:ascii="黑体" w:hAnsi="黑体" w:eastAsia="黑体" w:cs="黑体"/>
          <w:sz w:val="40"/>
          <w:szCs w:val="40"/>
          <w:lang w:eastAsia="zh-CN"/>
        </w:rPr>
      </w:pPr>
    </w:p>
    <w:p w14:paraId="7E220AEA">
      <w:pPr>
        <w:jc w:val="center"/>
        <w:rPr>
          <w:rFonts w:hint="eastAsia" w:ascii="黑体" w:hAnsi="黑体" w:eastAsia="黑体" w:cs="黑体"/>
          <w:sz w:val="40"/>
          <w:szCs w:val="40"/>
          <w:lang w:eastAsia="zh-CN"/>
        </w:rPr>
      </w:pPr>
    </w:p>
    <w:p w14:paraId="53495D8A">
      <w:pPr>
        <w:jc w:val="center"/>
        <w:rPr>
          <w:rFonts w:hint="eastAsia" w:ascii="黑体" w:hAnsi="黑体" w:eastAsia="黑体" w:cs="黑体"/>
          <w:sz w:val="40"/>
          <w:szCs w:val="40"/>
          <w:lang w:eastAsia="zh-CN"/>
        </w:rPr>
      </w:pPr>
    </w:p>
    <w:p w14:paraId="428E77B0">
      <w:pPr>
        <w:jc w:val="center"/>
        <w:rPr>
          <w:rFonts w:hint="eastAsia" w:ascii="黑体" w:hAnsi="黑体" w:eastAsia="黑体" w:cs="黑体"/>
          <w:sz w:val="40"/>
          <w:szCs w:val="40"/>
          <w:lang w:eastAsia="zh-CN"/>
        </w:rPr>
      </w:pPr>
    </w:p>
    <w:p w14:paraId="2BB6A8C7">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246D85B8">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2024年9月</w:t>
      </w:r>
      <w:r>
        <w:rPr>
          <w:rFonts w:hint="eastAsia" w:ascii="黑体" w:hAnsi="黑体" w:eastAsia="黑体" w:cs="黑体"/>
          <w:sz w:val="40"/>
          <w:szCs w:val="40"/>
          <w:lang w:eastAsia="zh-CN"/>
        </w:rPr>
        <w:br w:type="page"/>
      </w:r>
    </w:p>
    <w:p w14:paraId="1EC16A5E">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乐山市五通桥区人民医院院内采购公告</w:t>
      </w:r>
    </w:p>
    <w:p w14:paraId="7763B78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61C8E12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YNCG2024009，项目包数量：1个</w:t>
      </w:r>
    </w:p>
    <w:p w14:paraId="700934C7">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二、项目背景：对放射科CT/DR干式片塑料包装袋进行采购</w:t>
      </w:r>
    </w:p>
    <w:p w14:paraId="39DBA5B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14:paraId="68250CB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555555"/>
          <w:kern w:val="0"/>
          <w:sz w:val="32"/>
          <w:szCs w:val="32"/>
          <w:lang w:val="en-US" w:eastAsia="zh-CN"/>
        </w:rPr>
        <w:t>四、</w:t>
      </w:r>
      <w:r>
        <w:rPr>
          <w:rFonts w:hint="eastAsia" w:ascii="仿宋" w:hAnsi="仿宋" w:eastAsia="仿宋" w:cs="仿宋"/>
          <w:color w:val="auto"/>
          <w:kern w:val="0"/>
          <w:sz w:val="32"/>
          <w:szCs w:val="32"/>
          <w:lang w:val="en-US" w:eastAsia="zh-CN"/>
        </w:rPr>
        <w:t>参加采购的供应商数量：三家及以上；在乐山市五通桥区人民医院官方网站上发布</w:t>
      </w:r>
      <w:r>
        <w:rPr>
          <w:rFonts w:hint="eastAsia" w:ascii="仿宋" w:hAnsi="仿宋" w:eastAsia="仿宋" w:cs="仿宋"/>
          <w:color w:val="auto"/>
          <w:kern w:val="0"/>
          <w:sz w:val="32"/>
          <w:szCs w:val="32"/>
          <w:lang w:val="en-US" w:eastAsia="zh-CN"/>
        </w:rPr>
        <w:t>公告（https://ww</w:t>
      </w:r>
      <w:bookmarkStart w:id="16" w:name="_GoBack"/>
      <w:bookmarkEnd w:id="16"/>
      <w:r>
        <w:rPr>
          <w:rFonts w:hint="eastAsia" w:ascii="仿宋" w:hAnsi="仿宋" w:eastAsia="仿宋" w:cs="仿宋"/>
          <w:color w:val="auto"/>
          <w:kern w:val="0"/>
          <w:sz w:val="32"/>
          <w:szCs w:val="32"/>
          <w:lang w:val="en-US" w:eastAsia="zh-CN"/>
        </w:rPr>
        <w:t>w.wtqqrmyy.com/）；本项目若有补遗或更正公告会在官网上发布，请参加采购的供应商随时关注；若因以上原因造成的损失由供应商自行负责</w:t>
      </w:r>
    </w:p>
    <w:p w14:paraId="1056A0B5">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五、供应商参加本次采购活动提交资料中，具备以下要求：</w:t>
      </w:r>
    </w:p>
    <w:p w14:paraId="1A1042A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6EBB9FB6">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23EA046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1BAC61D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2D164890">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12482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以上资料至少2套，请满足上述资质要求的供应商于2024年9月19日17:00之前将资料送至乐山市五通桥区人民医院采购办（行政楼三楼楼梯处），在截至时间以后送到的响应文件将被拒绝并退还给供应商。</w:t>
      </w:r>
    </w:p>
    <w:p w14:paraId="1F86E80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06C458E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1.方案报价在60日内有效，报价包括供应商履约过程中的服务费、人工、差旅、保险、税金与供应商履约所需要的其他所有费用。</w:t>
      </w:r>
    </w:p>
    <w:p w14:paraId="4CD2051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14:paraId="209B9B82">
      <w:pPr>
        <w:pStyle w:val="16"/>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23BCF33E">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采购文件:徐老师        电话:0833-3211269</w:t>
      </w:r>
    </w:p>
    <w:p w14:paraId="3BEAC3AE">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项目联系人:何老师      电话:0833-3351690</w:t>
      </w:r>
    </w:p>
    <w:p w14:paraId="50AA8650">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857BFDF">
      <w:pPr>
        <w:spacing w:line="300" w:lineRule="exact"/>
        <w:jc w:val="center"/>
        <w:rPr>
          <w:rFonts w:hint="eastAsia" w:ascii="仿宋" w:hAnsi="仿宋" w:eastAsia="仿宋" w:cs="仿宋"/>
          <w:b/>
          <w:color w:val="auto"/>
          <w:sz w:val="32"/>
          <w:szCs w:val="32"/>
          <w:lang w:eastAsia="zh-CN"/>
        </w:rPr>
      </w:pPr>
    </w:p>
    <w:p w14:paraId="4C84BF4D">
      <w:pPr>
        <w:pStyle w:val="5"/>
        <w:jc w:val="center"/>
        <w:rPr>
          <w:rFonts w:hint="eastAsia"/>
          <w:color w:val="auto"/>
          <w:lang w:eastAsia="zh-CN"/>
        </w:rPr>
      </w:pPr>
      <w:r>
        <w:rPr>
          <w:rFonts w:hint="eastAsia" w:ascii="黑体" w:hAnsi="黑体" w:eastAsia="黑体" w:cs="黑体"/>
          <w:b/>
          <w:color w:val="auto"/>
          <w:sz w:val="36"/>
          <w:szCs w:val="36"/>
          <w:lang w:eastAsia="zh-CN"/>
        </w:rPr>
        <w:t>第二章</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lang w:eastAsia="zh-CN"/>
        </w:rPr>
        <w:t>采购须知</w:t>
      </w:r>
    </w:p>
    <w:p w14:paraId="214D4AE4">
      <w:pPr>
        <w:pStyle w:val="30"/>
        <w:spacing w:line="240" w:lineRule="auto"/>
        <w:rPr>
          <w:rFonts w:hint="eastAsia"/>
          <w:color w:val="auto"/>
          <w:lang w:eastAsia="zh-CN"/>
        </w:rPr>
      </w:pPr>
    </w:p>
    <w:p w14:paraId="1A350D60">
      <w:pPr>
        <w:spacing w:line="240" w:lineRule="auto"/>
        <w:ind w:firstLine="643" w:firstLineChars="2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一、院内采购总则</w:t>
      </w:r>
    </w:p>
    <w:p w14:paraId="76A71677">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项目参照《中华人民共和国政府采购法》《四川省政府采购非招标采购方式实施办法》等有关法律、法规和规章，通过</w:t>
      </w:r>
      <w:r>
        <w:rPr>
          <w:rFonts w:hint="eastAsia" w:ascii="仿宋" w:hAnsi="仿宋" w:eastAsia="仿宋" w:cs="仿宋"/>
          <w:color w:val="auto"/>
          <w:sz w:val="32"/>
          <w:szCs w:val="32"/>
          <w:lang w:val="en-US" w:eastAsia="zh-CN"/>
        </w:rPr>
        <w:t>综合评分的</w:t>
      </w:r>
      <w:r>
        <w:rPr>
          <w:rFonts w:hint="eastAsia" w:ascii="仿宋" w:hAnsi="仿宋" w:eastAsia="仿宋" w:cs="仿宋"/>
          <w:color w:val="auto"/>
          <w:sz w:val="32"/>
          <w:szCs w:val="32"/>
        </w:rPr>
        <w:t>方式确定成交供应商。</w:t>
      </w:r>
    </w:p>
    <w:p w14:paraId="4D1BA412">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本项目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范围包括价格、质量、服务等方面内容，交货时间在合同中约定。</w:t>
      </w:r>
    </w:p>
    <w:p w14:paraId="14C1018E">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本采购项目最低要求：符合资质条件、技术参数及商务要求且报价不超过最高限价。</w:t>
      </w:r>
    </w:p>
    <w:p w14:paraId="308D58FE">
      <w:pPr>
        <w:numPr>
          <w:ilvl w:val="0"/>
          <w:numId w:val="0"/>
        </w:num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供应商自行承担本项目</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活动所发生</w:t>
      </w:r>
      <w:r>
        <w:rPr>
          <w:rFonts w:hint="eastAsia" w:ascii="仿宋" w:hAnsi="仿宋" w:eastAsia="仿宋" w:cs="仿宋"/>
          <w:color w:val="auto"/>
          <w:sz w:val="32"/>
          <w:szCs w:val="32"/>
          <w:lang w:eastAsia="zh-CN"/>
        </w:rPr>
        <w:t>现场踏勘、标书制作等</w:t>
      </w:r>
      <w:r>
        <w:rPr>
          <w:rFonts w:hint="eastAsia" w:ascii="仿宋" w:hAnsi="仿宋" w:eastAsia="仿宋" w:cs="仿宋"/>
          <w:color w:val="auto"/>
          <w:sz w:val="32"/>
          <w:szCs w:val="32"/>
        </w:rPr>
        <w:t>费用。</w:t>
      </w:r>
    </w:p>
    <w:p w14:paraId="68111C05">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响应文件的编制</w:t>
      </w:r>
    </w:p>
    <w:p w14:paraId="2FECE7C9">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14:paraId="3ADBB50F">
      <w:pPr>
        <w:spacing w:line="24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eastAsia="zh-CN"/>
        </w:rPr>
        <w:t>分正（副）本装订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一正</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eastAsia="zh-CN"/>
        </w:rPr>
        <w:t>副，</w:t>
      </w:r>
      <w:r>
        <w:rPr>
          <w:rFonts w:hint="eastAsia" w:ascii="仿宋" w:hAnsi="仿宋" w:eastAsia="仿宋" w:cs="仿宋"/>
          <w:color w:val="auto"/>
          <w:sz w:val="32"/>
          <w:szCs w:val="32"/>
        </w:rPr>
        <w:t>须用A4幅面纸张打印装订</w:t>
      </w:r>
      <w:r>
        <w:rPr>
          <w:rFonts w:hint="eastAsia" w:ascii="仿宋" w:hAnsi="仿宋" w:eastAsia="仿宋" w:cs="仿宋"/>
          <w:color w:val="auto"/>
          <w:sz w:val="32"/>
          <w:szCs w:val="32"/>
          <w:lang w:eastAsia="zh-CN"/>
        </w:rPr>
        <w:t>。</w:t>
      </w:r>
    </w:p>
    <w:p w14:paraId="68B9E1B5">
      <w:pPr>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响应文件的打印和书写应清楚工整，签字确认并加盖公章，否则无效。供应商为法人的，应当由其法定代表人或者代理人签字确认。</w:t>
      </w:r>
    </w:p>
    <w:p w14:paraId="484E45AB">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院内采购</w:t>
      </w:r>
      <w:r>
        <w:rPr>
          <w:rFonts w:hint="eastAsia" w:ascii="仿宋" w:hAnsi="仿宋" w:eastAsia="仿宋" w:cs="仿宋"/>
          <w:b/>
          <w:bCs/>
          <w:color w:val="auto"/>
          <w:sz w:val="32"/>
          <w:szCs w:val="32"/>
        </w:rPr>
        <w:t>会议的召开</w:t>
      </w:r>
    </w:p>
    <w:p w14:paraId="10DDDE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会议顺序:</w:t>
      </w:r>
    </w:p>
    <w:p w14:paraId="58E3B3A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16147CBD">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28025ED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2B0205BB">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55CC3D0">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59B6D1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2B3E7AF6">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56D9CDA1">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7228B2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196E01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0FE914B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1BD7A3D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770382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01CB1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0FAFED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60D130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1FAA8F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1E10CA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FEC81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061374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auto"/>
          <w:sz w:val="32"/>
          <w:szCs w:val="32"/>
        </w:rPr>
        <w:t>的原则推荐成交候选供应商，由采购人授权</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确认成交供应商，</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个工作日内在</w:t>
      </w:r>
      <w:r>
        <w:rPr>
          <w:rFonts w:hint="eastAsia" w:ascii="仿宋" w:hAnsi="仿宋" w:eastAsia="仿宋" w:cs="仿宋"/>
          <w:color w:val="auto"/>
          <w:sz w:val="32"/>
          <w:szCs w:val="32"/>
          <w:lang w:eastAsia="zh-CN"/>
        </w:rPr>
        <w:t>乐山市五通桥区人民医院</w:t>
      </w:r>
      <w:r>
        <w:rPr>
          <w:rFonts w:hint="eastAsia" w:ascii="仿宋" w:hAnsi="仿宋" w:eastAsia="仿宋" w:cs="仿宋"/>
          <w:color w:val="auto"/>
          <w:sz w:val="32"/>
          <w:szCs w:val="32"/>
          <w:lang w:val="en-US" w:eastAsia="zh-CN"/>
        </w:rPr>
        <w:t>网</w:t>
      </w:r>
      <w:r>
        <w:rPr>
          <w:rFonts w:hint="eastAsia" w:ascii="仿宋" w:hAnsi="仿宋" w:eastAsia="仿宋" w:cs="仿宋"/>
          <w:color w:val="auto"/>
          <w:sz w:val="32"/>
          <w:szCs w:val="32"/>
        </w:rPr>
        <w:t>上公告成交结果。</w:t>
      </w:r>
    </w:p>
    <w:p w14:paraId="06B11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四、成交标准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最终报价为依据（未组织</w:t>
      </w:r>
      <w:r>
        <w:rPr>
          <w:rFonts w:hint="eastAsia" w:ascii="仿宋" w:hAnsi="仿宋" w:eastAsia="仿宋" w:cs="仿宋"/>
          <w:color w:val="auto"/>
          <w:sz w:val="32"/>
          <w:szCs w:val="32"/>
          <w:lang w:val="en-US" w:eastAsia="zh-CN"/>
        </w:rPr>
        <w:t>二次报价</w:t>
      </w:r>
      <w:r>
        <w:rPr>
          <w:rFonts w:hint="eastAsia" w:ascii="仿宋" w:hAnsi="仿宋" w:eastAsia="仿宋" w:cs="仿宋"/>
          <w:color w:val="auto"/>
          <w:sz w:val="32"/>
          <w:szCs w:val="32"/>
        </w:rPr>
        <w:t>的，以报价响应文件中的报价为依据），体现满足采购项目要求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auto"/>
          <w:sz w:val="32"/>
          <w:szCs w:val="32"/>
        </w:rPr>
        <w:t>原则确定成交供应商。</w:t>
      </w:r>
    </w:p>
    <w:p w14:paraId="5F213F51">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auto"/>
          <w:sz w:val="32"/>
          <w:szCs w:val="32"/>
        </w:rPr>
        <w:t>采用最低评标价法的采购项目，提供相同品牌产品的不同投标人参加同一合同项下投标的，以其中通过资格审查、符合性审查且报价最</w:t>
      </w:r>
      <w:r>
        <w:rPr>
          <w:rFonts w:hint="eastAsia" w:ascii="仿宋" w:hAnsi="仿宋" w:eastAsia="仿宋" w:cs="仿宋"/>
          <w:color w:val="000000"/>
          <w:sz w:val="32"/>
          <w:szCs w:val="32"/>
        </w:rPr>
        <w:t>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4B63B9D0">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4B13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18F4C3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66F95E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45652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1762C8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4DEAD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7F1E65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8C9A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18958C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576D60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08B0D4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3841AFD7">
      <w:pPr>
        <w:pStyle w:val="7"/>
        <w:ind w:left="0" w:leftChars="0" w:firstLine="0" w:firstLineChars="0"/>
        <w:rPr>
          <w:rFonts w:hint="eastAsia" w:ascii="黑体" w:hAnsi="黑体" w:eastAsia="黑体" w:cs="黑体"/>
          <w:lang w:eastAsia="zh-CN"/>
        </w:rPr>
      </w:pPr>
    </w:p>
    <w:p w14:paraId="2DD8FBB0">
      <w:pPr>
        <w:rPr>
          <w:rFonts w:hint="eastAsia" w:ascii="黑体" w:hAnsi="黑体" w:eastAsia="黑体" w:cs="黑体"/>
          <w:lang w:val="en-US" w:eastAsia="zh-CN"/>
        </w:rPr>
      </w:pPr>
    </w:p>
    <w:p w14:paraId="3D170B97">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C133CA5">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B208577">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664F0054">
      <w:pPr>
        <w:spacing w:line="400" w:lineRule="exact"/>
        <w:ind w:firstLine="4897" w:firstLineChars="583"/>
        <w:rPr>
          <w:rFonts w:hint="eastAsia" w:ascii="黑体" w:hAnsi="黑体" w:eastAsia="黑体" w:cs="黑体"/>
          <w:sz w:val="84"/>
          <w:szCs w:val="84"/>
          <w:lang w:eastAsia="zh-CN"/>
        </w:rPr>
      </w:pPr>
    </w:p>
    <w:p w14:paraId="795CC96D">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14:paraId="6C9C77CB">
      <w:pPr>
        <w:rPr>
          <w:rFonts w:hint="eastAsia" w:ascii="黑体" w:hAnsi="黑体" w:eastAsia="黑体" w:cs="黑体"/>
          <w:sz w:val="84"/>
          <w:szCs w:val="84"/>
          <w:lang w:val="en-US" w:eastAsia="zh-CN"/>
        </w:rPr>
      </w:pPr>
    </w:p>
    <w:p w14:paraId="0A74D1CB">
      <w:pPr>
        <w:pStyle w:val="5"/>
        <w:rPr>
          <w:rFonts w:hint="eastAsia" w:ascii="黑体" w:hAnsi="黑体" w:eastAsia="黑体" w:cs="黑体"/>
          <w:lang w:val="en-US" w:eastAsia="zh-CN"/>
        </w:rPr>
      </w:pPr>
    </w:p>
    <w:p w14:paraId="796B7DAB">
      <w:pPr>
        <w:spacing w:line="400" w:lineRule="exact"/>
        <w:ind w:firstLine="4897" w:firstLineChars="583"/>
        <w:rPr>
          <w:rFonts w:hint="eastAsia" w:ascii="黑体" w:hAnsi="黑体" w:eastAsia="黑体" w:cs="黑体"/>
          <w:sz w:val="84"/>
          <w:szCs w:val="84"/>
        </w:rPr>
      </w:pPr>
    </w:p>
    <w:p w14:paraId="3879B012">
      <w:pPr>
        <w:spacing w:line="400" w:lineRule="exact"/>
        <w:ind w:firstLine="4897" w:firstLineChars="583"/>
        <w:rPr>
          <w:rFonts w:hint="eastAsia" w:ascii="黑体" w:hAnsi="黑体" w:eastAsia="黑体" w:cs="黑体"/>
          <w:sz w:val="84"/>
          <w:szCs w:val="84"/>
        </w:rPr>
      </w:pPr>
    </w:p>
    <w:p w14:paraId="7A7CD6AB">
      <w:pPr>
        <w:spacing w:line="400" w:lineRule="exact"/>
        <w:rPr>
          <w:rFonts w:hint="eastAsia" w:ascii="黑体" w:hAnsi="黑体" w:eastAsia="黑体" w:cs="黑体"/>
          <w:b/>
          <w:bCs/>
          <w:sz w:val="30"/>
          <w:szCs w:val="30"/>
        </w:rPr>
      </w:pPr>
    </w:p>
    <w:p w14:paraId="60C75F3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00D4CD5B">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646B33A2">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0E598927">
      <w:pPr>
        <w:widowControl w:val="0"/>
        <w:adjustRightInd/>
        <w:spacing w:line="360" w:lineRule="auto"/>
        <w:ind w:firstLine="315" w:firstLineChars="98"/>
        <w:rPr>
          <w:rFonts w:hint="eastAsia" w:ascii="黑体" w:hAnsi="黑体" w:eastAsia="黑体" w:cs="黑体"/>
          <w:b/>
          <w:bCs/>
          <w:sz w:val="32"/>
          <w:szCs w:val="32"/>
        </w:rPr>
      </w:pPr>
    </w:p>
    <w:p w14:paraId="6219C93D">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46B09F46">
      <w:pPr>
        <w:rPr>
          <w:rFonts w:hint="eastAsia" w:ascii="黑体" w:hAnsi="黑体" w:eastAsia="黑体" w:cs="黑体"/>
          <w:b/>
          <w:bCs/>
          <w:sz w:val="32"/>
          <w:szCs w:val="32"/>
        </w:rPr>
      </w:pPr>
      <w:bookmarkStart w:id="0" w:name="_Toc5773"/>
      <w:bookmarkStart w:id="1" w:name="_Toc18458"/>
      <w:bookmarkStart w:id="2" w:name="_Toc25737"/>
      <w:bookmarkStart w:id="3" w:name="_Toc9490"/>
      <w:r>
        <w:rPr>
          <w:rFonts w:hint="eastAsia" w:ascii="黑体" w:hAnsi="黑体" w:eastAsia="黑体" w:cs="黑体"/>
          <w:b/>
          <w:bCs/>
          <w:sz w:val="32"/>
          <w:szCs w:val="32"/>
        </w:rPr>
        <w:br w:type="page"/>
      </w:r>
    </w:p>
    <w:bookmarkEnd w:id="0"/>
    <w:bookmarkEnd w:id="1"/>
    <w:bookmarkEnd w:id="2"/>
    <w:bookmarkEnd w:id="3"/>
    <w:p w14:paraId="37A0A95C">
      <w:pPr>
        <w:numPr>
          <w:ilvl w:val="0"/>
          <w:numId w:val="2"/>
        </w:numPr>
        <w:jc w:val="center"/>
        <w:rPr>
          <w:rFonts w:hint="eastAsia" w:ascii="黑体" w:hAnsi="黑体" w:eastAsia="黑体" w:cs="黑体"/>
          <w:b/>
          <w:sz w:val="36"/>
          <w:szCs w:val="36"/>
          <w:lang w:val="en-US" w:eastAsia="zh-CN"/>
        </w:rPr>
      </w:pPr>
      <w:bookmarkStart w:id="4" w:name="_Toc4003"/>
      <w:bookmarkStart w:id="5" w:name="_Toc17549"/>
      <w:bookmarkStart w:id="6" w:name="_Toc439699516"/>
      <w:bookmarkStart w:id="7" w:name="_Toc12449"/>
      <w:r>
        <w:rPr>
          <w:rFonts w:hint="eastAsia" w:ascii="黑体" w:hAnsi="黑体" w:eastAsia="黑体" w:cs="黑体"/>
          <w:b/>
          <w:sz w:val="36"/>
          <w:szCs w:val="36"/>
          <w:lang w:val="en-US" w:eastAsia="zh-CN"/>
        </w:rPr>
        <w:t>采购资质要求</w:t>
      </w:r>
    </w:p>
    <w:p w14:paraId="3F8F75A8">
      <w:pPr>
        <w:pStyle w:val="5"/>
        <w:rPr>
          <w:rFonts w:hint="eastAsia" w:ascii="黑体" w:hAnsi="黑体" w:eastAsia="黑体" w:cs="黑体"/>
          <w:b/>
          <w:sz w:val="36"/>
          <w:szCs w:val="36"/>
          <w:lang w:val="en-US" w:eastAsia="zh-CN"/>
        </w:rPr>
      </w:pPr>
    </w:p>
    <w:p w14:paraId="6C2BB2AF">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20"/>
        <w:gridCol w:w="1035"/>
        <w:gridCol w:w="1699"/>
      </w:tblGrid>
      <w:tr w14:paraId="370D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2" w:type="dxa"/>
            <w:noWrap w:val="0"/>
            <w:vAlign w:val="center"/>
          </w:tcPr>
          <w:p w14:paraId="774E905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6420" w:type="dxa"/>
            <w:noWrap w:val="0"/>
            <w:vAlign w:val="center"/>
          </w:tcPr>
          <w:p w14:paraId="78A3E37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1035" w:type="dxa"/>
            <w:noWrap w:val="0"/>
            <w:vAlign w:val="center"/>
          </w:tcPr>
          <w:p w14:paraId="36659CF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1699" w:type="dxa"/>
            <w:noWrap w:val="0"/>
            <w:vAlign w:val="center"/>
          </w:tcPr>
          <w:p w14:paraId="08EE974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6D76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52" w:type="dxa"/>
            <w:noWrap w:val="0"/>
            <w:vAlign w:val="center"/>
          </w:tcPr>
          <w:p w14:paraId="6CF8C9C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6420" w:type="dxa"/>
            <w:noWrap w:val="0"/>
            <w:vAlign w:val="center"/>
          </w:tcPr>
          <w:p w14:paraId="720E8FE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1035" w:type="dxa"/>
            <w:noWrap w:val="0"/>
            <w:vAlign w:val="center"/>
          </w:tcPr>
          <w:p w14:paraId="5425F6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9" w:type="dxa"/>
            <w:noWrap w:val="0"/>
            <w:vAlign w:val="center"/>
          </w:tcPr>
          <w:p w14:paraId="5D2BDEE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41B1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 w:type="dxa"/>
            <w:noWrap w:val="0"/>
            <w:vAlign w:val="center"/>
          </w:tcPr>
          <w:p w14:paraId="0C88AA3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6420" w:type="dxa"/>
            <w:noWrap w:val="0"/>
            <w:vAlign w:val="center"/>
          </w:tcPr>
          <w:p w14:paraId="0F0419D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1035" w:type="dxa"/>
            <w:noWrap w:val="0"/>
            <w:vAlign w:val="center"/>
          </w:tcPr>
          <w:p w14:paraId="2A82CD1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9" w:type="dxa"/>
            <w:noWrap w:val="0"/>
            <w:vAlign w:val="center"/>
          </w:tcPr>
          <w:p w14:paraId="22CBC67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313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2" w:type="dxa"/>
            <w:noWrap w:val="0"/>
            <w:vAlign w:val="center"/>
          </w:tcPr>
          <w:p w14:paraId="210D7B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6420" w:type="dxa"/>
            <w:noWrap w:val="0"/>
            <w:vAlign w:val="center"/>
          </w:tcPr>
          <w:p w14:paraId="78F8315B">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1035" w:type="dxa"/>
            <w:noWrap w:val="0"/>
            <w:vAlign w:val="center"/>
          </w:tcPr>
          <w:p w14:paraId="11E8123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9" w:type="dxa"/>
            <w:noWrap w:val="0"/>
            <w:vAlign w:val="center"/>
          </w:tcPr>
          <w:p w14:paraId="73ED6AD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B5B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52" w:type="dxa"/>
            <w:noWrap w:val="0"/>
            <w:vAlign w:val="center"/>
          </w:tcPr>
          <w:p w14:paraId="45262D2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6420" w:type="dxa"/>
            <w:noWrap w:val="0"/>
            <w:vAlign w:val="center"/>
          </w:tcPr>
          <w:p w14:paraId="0CE8EE7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1035" w:type="dxa"/>
            <w:noWrap w:val="0"/>
            <w:vAlign w:val="center"/>
          </w:tcPr>
          <w:p w14:paraId="5C6E8D1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9" w:type="dxa"/>
            <w:noWrap w:val="0"/>
            <w:vAlign w:val="center"/>
          </w:tcPr>
          <w:p w14:paraId="2922474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2420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noWrap w:val="0"/>
            <w:vAlign w:val="center"/>
          </w:tcPr>
          <w:p w14:paraId="6B03FD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6420" w:type="dxa"/>
            <w:noWrap w:val="0"/>
            <w:vAlign w:val="center"/>
          </w:tcPr>
          <w:p w14:paraId="09C3A79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1035" w:type="dxa"/>
            <w:noWrap w:val="0"/>
            <w:vAlign w:val="center"/>
          </w:tcPr>
          <w:p w14:paraId="7C854898">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1699" w:type="dxa"/>
            <w:noWrap w:val="0"/>
            <w:vAlign w:val="center"/>
          </w:tcPr>
          <w:p w14:paraId="2F966FA4">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347C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52" w:type="dxa"/>
            <w:noWrap w:val="0"/>
            <w:vAlign w:val="center"/>
          </w:tcPr>
          <w:p w14:paraId="41C136CD">
            <w:pPr>
              <w:snapToGrid w:val="0"/>
              <w:spacing w:line="240" w:lineRule="auto"/>
              <w:contextualSpacing/>
              <w:rPr>
                <w:rFonts w:hint="eastAsia" w:ascii="仿宋" w:hAnsi="仿宋" w:eastAsia="仿宋" w:cs="仿宋"/>
                <w:color w:val="000000"/>
                <w:spacing w:val="2"/>
                <w:sz w:val="32"/>
                <w:szCs w:val="32"/>
                <w:lang w:eastAsia="zh-CN"/>
              </w:rPr>
            </w:pPr>
          </w:p>
        </w:tc>
        <w:tc>
          <w:tcPr>
            <w:tcW w:w="6420" w:type="dxa"/>
            <w:noWrap w:val="0"/>
            <w:vAlign w:val="center"/>
          </w:tcPr>
          <w:p w14:paraId="3AA37FFC">
            <w:pPr>
              <w:snapToGrid w:val="0"/>
              <w:spacing w:line="240" w:lineRule="auto"/>
              <w:contextualSpacing/>
              <w:rPr>
                <w:rFonts w:hint="eastAsia" w:ascii="仿宋" w:hAnsi="仿宋" w:eastAsia="仿宋" w:cs="仿宋"/>
                <w:color w:val="000000"/>
                <w:spacing w:val="2"/>
                <w:sz w:val="32"/>
                <w:szCs w:val="32"/>
                <w:lang w:val="en-US" w:eastAsia="zh-CN"/>
              </w:rPr>
            </w:pPr>
          </w:p>
        </w:tc>
        <w:tc>
          <w:tcPr>
            <w:tcW w:w="1035" w:type="dxa"/>
            <w:noWrap w:val="0"/>
            <w:vAlign w:val="center"/>
          </w:tcPr>
          <w:p w14:paraId="31CCFD65">
            <w:pPr>
              <w:snapToGrid w:val="0"/>
              <w:spacing w:line="240" w:lineRule="auto"/>
              <w:contextualSpacing/>
              <w:rPr>
                <w:rFonts w:hint="eastAsia" w:ascii="仿宋" w:hAnsi="仿宋" w:eastAsia="仿宋" w:cs="仿宋"/>
                <w:color w:val="000000"/>
                <w:spacing w:val="2"/>
                <w:sz w:val="32"/>
                <w:szCs w:val="32"/>
                <w:lang w:eastAsia="zh-CN"/>
              </w:rPr>
            </w:pPr>
          </w:p>
        </w:tc>
        <w:tc>
          <w:tcPr>
            <w:tcW w:w="1699" w:type="dxa"/>
            <w:noWrap w:val="0"/>
            <w:vAlign w:val="center"/>
          </w:tcPr>
          <w:p w14:paraId="0EEEFAE0">
            <w:pPr>
              <w:snapToGrid w:val="0"/>
              <w:spacing w:line="240" w:lineRule="auto"/>
              <w:contextualSpacing/>
              <w:rPr>
                <w:rFonts w:hint="eastAsia" w:ascii="仿宋" w:hAnsi="仿宋" w:eastAsia="仿宋" w:cs="仿宋"/>
                <w:color w:val="000000"/>
                <w:spacing w:val="2"/>
                <w:sz w:val="32"/>
                <w:szCs w:val="32"/>
                <w:lang w:eastAsia="zh-CN"/>
              </w:rPr>
            </w:pPr>
          </w:p>
        </w:tc>
      </w:tr>
      <w:tr w14:paraId="294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2" w:type="dxa"/>
            <w:noWrap w:val="0"/>
            <w:vAlign w:val="center"/>
          </w:tcPr>
          <w:p w14:paraId="37FBE8ED">
            <w:pPr>
              <w:snapToGrid w:val="0"/>
              <w:spacing w:line="240" w:lineRule="auto"/>
              <w:contextualSpacing/>
              <w:rPr>
                <w:rFonts w:hint="eastAsia" w:ascii="仿宋" w:hAnsi="仿宋" w:eastAsia="仿宋" w:cs="仿宋"/>
                <w:color w:val="000000"/>
                <w:spacing w:val="2"/>
                <w:sz w:val="32"/>
                <w:szCs w:val="32"/>
                <w:lang w:eastAsia="zh-CN"/>
              </w:rPr>
            </w:pPr>
          </w:p>
        </w:tc>
        <w:tc>
          <w:tcPr>
            <w:tcW w:w="6420" w:type="dxa"/>
            <w:noWrap w:val="0"/>
            <w:vAlign w:val="center"/>
          </w:tcPr>
          <w:p w14:paraId="15657275">
            <w:pPr>
              <w:snapToGrid w:val="0"/>
              <w:spacing w:line="240" w:lineRule="auto"/>
              <w:contextualSpacing/>
              <w:rPr>
                <w:rFonts w:hint="eastAsia" w:ascii="仿宋" w:hAnsi="仿宋" w:eastAsia="仿宋" w:cs="仿宋"/>
                <w:color w:val="000000"/>
                <w:spacing w:val="2"/>
                <w:sz w:val="32"/>
                <w:szCs w:val="32"/>
                <w:lang w:val="en-US" w:eastAsia="zh-CN"/>
              </w:rPr>
            </w:pPr>
          </w:p>
        </w:tc>
        <w:tc>
          <w:tcPr>
            <w:tcW w:w="1035" w:type="dxa"/>
            <w:noWrap w:val="0"/>
            <w:vAlign w:val="center"/>
          </w:tcPr>
          <w:p w14:paraId="574E3F6E">
            <w:pPr>
              <w:snapToGrid w:val="0"/>
              <w:spacing w:line="240" w:lineRule="auto"/>
              <w:contextualSpacing/>
              <w:rPr>
                <w:rFonts w:hint="eastAsia" w:ascii="仿宋" w:hAnsi="仿宋" w:eastAsia="仿宋" w:cs="仿宋"/>
                <w:color w:val="000000"/>
                <w:spacing w:val="2"/>
                <w:sz w:val="32"/>
                <w:szCs w:val="32"/>
                <w:lang w:eastAsia="zh-CN"/>
              </w:rPr>
            </w:pPr>
          </w:p>
        </w:tc>
        <w:tc>
          <w:tcPr>
            <w:tcW w:w="1699" w:type="dxa"/>
            <w:noWrap w:val="0"/>
            <w:vAlign w:val="center"/>
          </w:tcPr>
          <w:p w14:paraId="261AB889">
            <w:pPr>
              <w:snapToGrid w:val="0"/>
              <w:spacing w:line="240" w:lineRule="auto"/>
              <w:contextualSpacing/>
              <w:rPr>
                <w:rFonts w:hint="eastAsia" w:ascii="仿宋" w:hAnsi="仿宋" w:eastAsia="仿宋" w:cs="仿宋"/>
                <w:color w:val="000000"/>
                <w:spacing w:val="2"/>
                <w:sz w:val="32"/>
                <w:szCs w:val="32"/>
                <w:lang w:eastAsia="zh-CN"/>
              </w:rPr>
            </w:pPr>
          </w:p>
        </w:tc>
      </w:tr>
      <w:tr w14:paraId="2B7E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2" w:type="dxa"/>
            <w:noWrap w:val="0"/>
            <w:vAlign w:val="center"/>
          </w:tcPr>
          <w:p w14:paraId="2E1D141D">
            <w:pPr>
              <w:snapToGrid w:val="0"/>
              <w:spacing w:line="240" w:lineRule="auto"/>
              <w:contextualSpacing/>
              <w:rPr>
                <w:rFonts w:hint="default" w:ascii="仿宋" w:hAnsi="仿宋" w:eastAsia="仿宋" w:cs="仿宋"/>
                <w:color w:val="000000"/>
                <w:spacing w:val="2"/>
                <w:sz w:val="32"/>
                <w:szCs w:val="32"/>
                <w:lang w:val="en-US" w:eastAsia="zh-CN"/>
              </w:rPr>
            </w:pPr>
          </w:p>
        </w:tc>
        <w:tc>
          <w:tcPr>
            <w:tcW w:w="6420" w:type="dxa"/>
            <w:noWrap w:val="0"/>
            <w:vAlign w:val="center"/>
          </w:tcPr>
          <w:p w14:paraId="6CA75215">
            <w:pPr>
              <w:snapToGrid w:val="0"/>
              <w:spacing w:line="240" w:lineRule="auto"/>
              <w:contextualSpacing/>
              <w:rPr>
                <w:rFonts w:hint="default" w:ascii="仿宋" w:hAnsi="仿宋" w:eastAsia="仿宋" w:cs="仿宋"/>
                <w:color w:val="000000"/>
                <w:spacing w:val="2"/>
                <w:sz w:val="32"/>
                <w:szCs w:val="32"/>
                <w:lang w:val="en-US" w:eastAsia="zh-CN"/>
              </w:rPr>
            </w:pPr>
          </w:p>
        </w:tc>
        <w:tc>
          <w:tcPr>
            <w:tcW w:w="1035" w:type="dxa"/>
            <w:noWrap w:val="0"/>
            <w:vAlign w:val="center"/>
          </w:tcPr>
          <w:p w14:paraId="23C7E2F2">
            <w:pPr>
              <w:snapToGrid w:val="0"/>
              <w:spacing w:line="240" w:lineRule="auto"/>
              <w:contextualSpacing/>
              <w:rPr>
                <w:rFonts w:hint="default" w:ascii="仿宋" w:hAnsi="仿宋" w:eastAsia="仿宋" w:cs="仿宋"/>
                <w:color w:val="000000"/>
                <w:spacing w:val="2"/>
                <w:sz w:val="32"/>
                <w:szCs w:val="32"/>
                <w:lang w:val="en-US" w:eastAsia="zh-CN"/>
              </w:rPr>
            </w:pPr>
          </w:p>
        </w:tc>
        <w:tc>
          <w:tcPr>
            <w:tcW w:w="1699" w:type="dxa"/>
            <w:noWrap w:val="0"/>
            <w:vAlign w:val="center"/>
          </w:tcPr>
          <w:p w14:paraId="42C3C152">
            <w:pPr>
              <w:snapToGrid w:val="0"/>
              <w:spacing w:line="240" w:lineRule="auto"/>
              <w:contextualSpacing/>
              <w:rPr>
                <w:rFonts w:hint="default" w:ascii="仿宋" w:hAnsi="仿宋" w:eastAsia="仿宋" w:cs="仿宋"/>
                <w:color w:val="000000"/>
                <w:spacing w:val="2"/>
                <w:sz w:val="32"/>
                <w:szCs w:val="32"/>
                <w:lang w:val="en-US" w:eastAsia="zh-CN"/>
              </w:rPr>
            </w:pPr>
          </w:p>
        </w:tc>
      </w:tr>
    </w:tbl>
    <w:p w14:paraId="35735688">
      <w:pPr>
        <w:pStyle w:val="5"/>
        <w:rPr>
          <w:rFonts w:hint="eastAsia" w:ascii="仿宋" w:hAnsi="仿宋" w:eastAsia="仿宋" w:cs="仿宋"/>
          <w:color w:val="auto"/>
          <w:sz w:val="30"/>
          <w:szCs w:val="30"/>
          <w:highlight w:val="none"/>
          <w:lang w:eastAsia="zh-CN"/>
        </w:rPr>
      </w:pPr>
    </w:p>
    <w:p w14:paraId="44E71A8B">
      <w:pPr>
        <w:pStyle w:val="6"/>
        <w:rPr>
          <w:rFonts w:hint="eastAsia" w:ascii="仿宋" w:hAnsi="仿宋" w:eastAsia="仿宋" w:cs="仿宋"/>
          <w:color w:val="auto"/>
          <w:sz w:val="30"/>
          <w:szCs w:val="30"/>
          <w:highlight w:val="none"/>
          <w:lang w:eastAsia="zh-CN"/>
        </w:rPr>
      </w:pPr>
    </w:p>
    <w:p w14:paraId="33CEBF6E">
      <w:pPr>
        <w:rPr>
          <w:rFonts w:hint="eastAsia" w:ascii="仿宋" w:hAnsi="仿宋" w:eastAsia="仿宋" w:cs="仿宋"/>
          <w:color w:val="auto"/>
          <w:sz w:val="30"/>
          <w:szCs w:val="30"/>
          <w:highlight w:val="none"/>
          <w:lang w:eastAsia="zh-CN"/>
        </w:rPr>
      </w:pPr>
    </w:p>
    <w:p w14:paraId="30EA5C7A">
      <w:pPr>
        <w:pStyle w:val="5"/>
        <w:rPr>
          <w:rFonts w:hint="eastAsia"/>
          <w:lang w:eastAsia="zh-CN"/>
        </w:rPr>
      </w:pPr>
    </w:p>
    <w:p w14:paraId="2E7E87A6">
      <w:pPr>
        <w:pStyle w:val="5"/>
        <w:rPr>
          <w:rFonts w:hint="eastAsia"/>
          <w:lang w:eastAsia="zh-CN"/>
        </w:rPr>
      </w:pPr>
    </w:p>
    <w:p w14:paraId="5B384AB9">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2738BF77">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026B8DE1">
      <w:pPr>
        <w:pStyle w:val="5"/>
        <w:rPr>
          <w:rFonts w:hint="eastAsia" w:ascii="黑体" w:hAnsi="黑体" w:eastAsia="黑体" w:cs="黑体"/>
          <w:sz w:val="28"/>
          <w:szCs w:val="28"/>
        </w:rPr>
      </w:pPr>
    </w:p>
    <w:p w14:paraId="0469435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02211E6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2ED02DA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3156F38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67CD60E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159BC53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2D17731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46D7CF2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5B5605C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39CE965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5C5CCBC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4B761C1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6A9C20DF">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14FCF86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744FD6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2ACAB1D0">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F708A3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47320F21">
      <w:pPr>
        <w:pStyle w:val="29"/>
        <w:rPr>
          <w:rFonts w:hint="eastAsia" w:ascii="仿宋" w:hAnsi="仿宋" w:eastAsia="仿宋" w:cs="仿宋"/>
          <w:sz w:val="32"/>
          <w:szCs w:val="32"/>
        </w:rPr>
      </w:pPr>
    </w:p>
    <w:p w14:paraId="44C45DFA">
      <w:pPr>
        <w:rPr>
          <w:rFonts w:hint="eastAsia"/>
        </w:rPr>
      </w:pPr>
    </w:p>
    <w:p w14:paraId="2074143B">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455C7315">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6D982E3D">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74DBCDDA">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594FBA6A">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7B9AA457">
      <w:pPr>
        <w:spacing w:beforeLines="100" w:afterLines="200" w:line="320" w:lineRule="exact"/>
        <w:jc w:val="center"/>
        <w:rPr>
          <w:rFonts w:hint="eastAsia" w:ascii="黑体" w:hAnsi="黑体" w:eastAsia="黑体" w:cs="黑体"/>
          <w:color w:val="auto"/>
          <w:sz w:val="40"/>
          <w:szCs w:val="40"/>
        </w:rPr>
      </w:pPr>
      <w:bookmarkStart w:id="8" w:name="_Toc12426"/>
      <w:bookmarkStart w:id="9" w:name="_Toc1800"/>
      <w:bookmarkStart w:id="10" w:name="_Toc1287"/>
      <w:bookmarkStart w:id="11" w:name="_Toc439699522"/>
      <w:bookmarkStart w:id="12" w:name="_Toc199"/>
      <w:bookmarkStart w:id="13" w:name="_Toc24199"/>
      <w:bookmarkStart w:id="14" w:name="_Toc16184"/>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608CB65C">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25DFB05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6E6B89B2">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185373F7">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192160AD">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3027D45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64D1C7A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0A0B8E5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4994CB12">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30B2C9F2">
      <w:pPr>
        <w:pStyle w:val="27"/>
        <w:spacing w:line="240" w:lineRule="auto"/>
        <w:ind w:firstLine="0"/>
        <w:rPr>
          <w:rFonts w:hint="eastAsia" w:ascii="仿宋" w:hAnsi="仿宋" w:eastAsia="仿宋" w:cs="仿宋"/>
          <w:color w:val="auto"/>
          <w:sz w:val="32"/>
          <w:szCs w:val="32"/>
        </w:rPr>
      </w:pPr>
    </w:p>
    <w:p w14:paraId="268FD974">
      <w:pPr>
        <w:pStyle w:val="27"/>
        <w:spacing w:line="240" w:lineRule="auto"/>
        <w:ind w:firstLine="0"/>
        <w:rPr>
          <w:rFonts w:hint="eastAsia" w:ascii="仿宋" w:hAnsi="仿宋" w:eastAsia="仿宋" w:cs="仿宋"/>
          <w:color w:val="auto"/>
          <w:sz w:val="32"/>
          <w:szCs w:val="32"/>
        </w:rPr>
      </w:pPr>
    </w:p>
    <w:p w14:paraId="716C6D86">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5F145B09">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6ED0AC88">
      <w:pPr>
        <w:spacing w:after="0" w:line="360" w:lineRule="auto"/>
        <w:rPr>
          <w:rFonts w:hint="eastAsia" w:ascii="黑体" w:hAnsi="黑体" w:eastAsia="黑体" w:cs="黑体"/>
        </w:rPr>
      </w:pPr>
    </w:p>
    <w:p w14:paraId="58269B11">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1B25F00E">
      <w:pPr>
        <w:pStyle w:val="5"/>
        <w:rPr>
          <w:rFonts w:hint="eastAsia" w:ascii="黑体" w:hAnsi="黑体" w:eastAsia="黑体" w:cs="黑体"/>
          <w:lang w:val="en-US" w:eastAsia="zh-CN"/>
        </w:rPr>
      </w:pPr>
    </w:p>
    <w:p w14:paraId="1247C6B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tbl>
      <w:tblPr>
        <w:tblStyle w:val="1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764"/>
        <w:gridCol w:w="1836"/>
        <w:gridCol w:w="1836"/>
        <w:gridCol w:w="1615"/>
      </w:tblGrid>
      <w:tr w14:paraId="0FD7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69" w:type="dxa"/>
          </w:tcPr>
          <w:p w14:paraId="1EB499DB">
            <w:pPr>
              <w:pStyle w:val="16"/>
              <w:numPr>
                <w:ilvl w:val="0"/>
                <w:numId w:val="0"/>
              </w:numPr>
              <w:spacing w:line="240" w:lineRule="auto"/>
              <w:ind w:leftChars="0"/>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vertAlign w:val="baseline"/>
                <w:lang w:val="en-US" w:eastAsia="zh-CN"/>
              </w:rPr>
              <w:t>名称</w:t>
            </w:r>
          </w:p>
        </w:tc>
        <w:tc>
          <w:tcPr>
            <w:tcW w:w="1764" w:type="dxa"/>
          </w:tcPr>
          <w:p w14:paraId="571AB34A">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规格（cm）</w:t>
            </w:r>
          </w:p>
        </w:tc>
        <w:tc>
          <w:tcPr>
            <w:tcW w:w="1836" w:type="dxa"/>
          </w:tcPr>
          <w:p w14:paraId="3A7D40B5">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数量（个）</w:t>
            </w:r>
          </w:p>
        </w:tc>
        <w:tc>
          <w:tcPr>
            <w:tcW w:w="1836" w:type="dxa"/>
          </w:tcPr>
          <w:p w14:paraId="36A66E0F">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单价（元）</w:t>
            </w:r>
          </w:p>
        </w:tc>
        <w:tc>
          <w:tcPr>
            <w:tcW w:w="1615" w:type="dxa"/>
          </w:tcPr>
          <w:p w14:paraId="0A9D41ED">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总价（元）</w:t>
            </w:r>
          </w:p>
        </w:tc>
      </w:tr>
      <w:tr w14:paraId="3815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69" w:type="dxa"/>
          </w:tcPr>
          <w:p w14:paraId="027A7A04">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CT袋（四指袋）</w:t>
            </w:r>
          </w:p>
        </w:tc>
        <w:tc>
          <w:tcPr>
            <w:tcW w:w="1764" w:type="dxa"/>
          </w:tcPr>
          <w:p w14:paraId="451D5FDA">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52*40±3</w:t>
            </w:r>
          </w:p>
        </w:tc>
        <w:tc>
          <w:tcPr>
            <w:tcW w:w="1836" w:type="dxa"/>
          </w:tcPr>
          <w:p w14:paraId="654AE866">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36000</w:t>
            </w:r>
          </w:p>
        </w:tc>
        <w:tc>
          <w:tcPr>
            <w:tcW w:w="1836" w:type="dxa"/>
          </w:tcPr>
          <w:p w14:paraId="35FE93E3">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0.35</w:t>
            </w:r>
          </w:p>
        </w:tc>
        <w:tc>
          <w:tcPr>
            <w:tcW w:w="1615" w:type="dxa"/>
          </w:tcPr>
          <w:p w14:paraId="433FC547">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12600</w:t>
            </w:r>
          </w:p>
        </w:tc>
      </w:tr>
      <w:tr w14:paraId="511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9" w:type="dxa"/>
          </w:tcPr>
          <w:p w14:paraId="614C1D0A">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DR袋（四指袋）</w:t>
            </w:r>
          </w:p>
        </w:tc>
        <w:tc>
          <w:tcPr>
            <w:tcW w:w="1764" w:type="dxa"/>
          </w:tcPr>
          <w:p w14:paraId="5368334E">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40*29±3</w:t>
            </w:r>
          </w:p>
        </w:tc>
        <w:tc>
          <w:tcPr>
            <w:tcW w:w="1836" w:type="dxa"/>
          </w:tcPr>
          <w:p w14:paraId="2BF57B3B">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18000</w:t>
            </w:r>
          </w:p>
        </w:tc>
        <w:tc>
          <w:tcPr>
            <w:tcW w:w="1836" w:type="dxa"/>
          </w:tcPr>
          <w:p w14:paraId="274C045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0.25</w:t>
            </w:r>
          </w:p>
        </w:tc>
        <w:tc>
          <w:tcPr>
            <w:tcW w:w="1615" w:type="dxa"/>
          </w:tcPr>
          <w:p w14:paraId="2D158111">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4500</w:t>
            </w:r>
          </w:p>
        </w:tc>
      </w:tr>
      <w:tr w14:paraId="63F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9" w:type="dxa"/>
          </w:tcPr>
          <w:p w14:paraId="599AFDEF">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764" w:type="dxa"/>
          </w:tcPr>
          <w:p w14:paraId="486EE99B">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836" w:type="dxa"/>
          </w:tcPr>
          <w:p w14:paraId="4096901B">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836" w:type="dxa"/>
          </w:tcPr>
          <w:p w14:paraId="1E92EAE3">
            <w:pPr>
              <w:pStyle w:val="16"/>
              <w:numPr>
                <w:ilvl w:val="0"/>
                <w:numId w:val="0"/>
              </w:numPr>
              <w:spacing w:line="240" w:lineRule="auto"/>
              <w:rPr>
                <w:rFonts w:hint="default" w:ascii="仿宋" w:hAnsi="仿宋" w:eastAsia="仿宋" w:cs="仿宋"/>
                <w:sz w:val="32"/>
                <w:szCs w:val="32"/>
                <w:vertAlign w:val="baseline"/>
                <w:lang w:val="en-US" w:eastAsia="zh-CN"/>
              </w:rPr>
            </w:pPr>
          </w:p>
        </w:tc>
        <w:tc>
          <w:tcPr>
            <w:tcW w:w="1615" w:type="dxa"/>
          </w:tcPr>
          <w:p w14:paraId="1FB4299E">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17100</w:t>
            </w:r>
          </w:p>
        </w:tc>
      </w:tr>
    </w:tbl>
    <w:p w14:paraId="4AB8892C">
      <w:pPr>
        <w:pStyle w:val="16"/>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供应商在投标资料中要求提供样品（可以是其他医院的袋子）</w:t>
      </w:r>
    </w:p>
    <w:p w14:paraId="7B08059C">
      <w:pPr>
        <w:pStyle w:val="16"/>
        <w:numPr>
          <w:ilvl w:val="0"/>
          <w:numId w:val="0"/>
        </w:numPr>
        <w:spacing w:line="240" w:lineRule="auto"/>
        <w:ind w:leftChars="0"/>
        <w:rPr>
          <w:rFonts w:hint="default" w:ascii="仿宋" w:hAnsi="仿宋" w:eastAsia="仿宋" w:cs="仿宋"/>
          <w:sz w:val="32"/>
          <w:szCs w:val="32"/>
          <w:lang w:val="en-US" w:eastAsia="zh-CN"/>
        </w:rPr>
      </w:pPr>
    </w:p>
    <w:p w14:paraId="0DE2D303">
      <w:pPr>
        <w:pStyle w:val="16"/>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中选后制作袋子的图样要求：</w:t>
      </w:r>
    </w:p>
    <w:p w14:paraId="38A7E310">
      <w:pPr>
        <w:rPr>
          <w:rFonts w:hint="eastAsia" w:eastAsia="宋体"/>
          <w:lang w:eastAsia="zh-CN"/>
        </w:rPr>
      </w:pPr>
      <w:r>
        <w:rPr>
          <w:rFonts w:hint="eastAsia" w:eastAsia="宋体"/>
          <w:lang w:eastAsia="zh-CN"/>
        </w:rPr>
        <w:drawing>
          <wp:inline distT="0" distB="0" distL="114300" distR="114300">
            <wp:extent cx="5825490" cy="4221480"/>
            <wp:effectExtent l="0" t="0" r="3810" b="7620"/>
            <wp:docPr id="3" name="图片 1" descr="19817f35246de0492dc8edf9c170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9817f35246de0492dc8edf9c1700b3"/>
                    <pic:cNvPicPr>
                      <a:picLocks noChangeAspect="1"/>
                    </pic:cNvPicPr>
                  </pic:nvPicPr>
                  <pic:blipFill>
                    <a:blip r:embed="rId8"/>
                    <a:srcRect l="-725" t="732" r="1003" b="7924"/>
                    <a:stretch>
                      <a:fillRect/>
                    </a:stretch>
                  </pic:blipFill>
                  <pic:spPr>
                    <a:xfrm>
                      <a:off x="0" y="0"/>
                      <a:ext cx="5825490" cy="4221480"/>
                    </a:xfrm>
                    <a:prstGeom prst="rect">
                      <a:avLst/>
                    </a:prstGeom>
                    <a:noFill/>
                    <a:ln>
                      <a:noFill/>
                    </a:ln>
                  </pic:spPr>
                </pic:pic>
              </a:graphicData>
            </a:graphic>
          </wp:inline>
        </w:drawing>
      </w:r>
    </w:p>
    <w:p w14:paraId="7D0A973D">
      <w:pPr>
        <w:rPr>
          <w:rFonts w:hint="eastAsia" w:eastAsia="宋体"/>
          <w:lang w:eastAsia="zh-CN"/>
        </w:rPr>
      </w:pPr>
      <w:r>
        <w:rPr>
          <w:rFonts w:hint="eastAsia" w:eastAsia="宋体"/>
          <w:lang w:eastAsia="zh-CN"/>
        </w:rPr>
        <w:drawing>
          <wp:inline distT="0" distB="0" distL="114300" distR="114300">
            <wp:extent cx="6134735" cy="4450715"/>
            <wp:effectExtent l="0" t="0" r="18415" b="6985"/>
            <wp:docPr id="4" name="图片 2" descr="eedb0e19333db8cc3da7cbd455b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edb0e19333db8cc3da7cbd455b1729"/>
                    <pic:cNvPicPr>
                      <a:picLocks noChangeAspect="1"/>
                    </pic:cNvPicPr>
                  </pic:nvPicPr>
                  <pic:blipFill>
                    <a:blip r:embed="rId9"/>
                    <a:srcRect r="-810" b="9076"/>
                    <a:stretch>
                      <a:fillRect/>
                    </a:stretch>
                  </pic:blipFill>
                  <pic:spPr>
                    <a:xfrm>
                      <a:off x="0" y="0"/>
                      <a:ext cx="6134735" cy="4450715"/>
                    </a:xfrm>
                    <a:prstGeom prst="rect">
                      <a:avLst/>
                    </a:prstGeom>
                    <a:noFill/>
                    <a:ln>
                      <a:noFill/>
                    </a:ln>
                  </pic:spPr>
                </pic:pic>
              </a:graphicData>
            </a:graphic>
          </wp:inline>
        </w:drawing>
      </w:r>
    </w:p>
    <w:p w14:paraId="4839EAB2">
      <w:pPr>
        <w:pStyle w:val="16"/>
        <w:numPr>
          <w:ilvl w:val="0"/>
          <w:numId w:val="0"/>
        </w:numPr>
        <w:spacing w:line="240" w:lineRule="auto"/>
        <w:ind w:leftChars="0"/>
        <w:rPr>
          <w:rFonts w:hint="eastAsia" w:ascii="仿宋" w:hAnsi="仿宋" w:eastAsia="仿宋" w:cs="仿宋"/>
          <w:sz w:val="32"/>
          <w:szCs w:val="32"/>
          <w:lang w:val="en-US" w:eastAsia="zh-CN"/>
        </w:rPr>
      </w:pPr>
    </w:p>
    <w:p w14:paraId="0FECE8C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292CB234">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21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响应时间：按照医院要求，接到通知后，半月内送货。</w:t>
      </w:r>
    </w:p>
    <w:p w14:paraId="2D5A5E97">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21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服务要求：送货到科室指定地方并堆放有序。</w:t>
      </w:r>
    </w:p>
    <w:p w14:paraId="712A281B">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21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付款方式：验收并收到发票以后，100日内支付货款。</w:t>
      </w:r>
    </w:p>
    <w:p w14:paraId="0F137768">
      <w:pPr>
        <w:pStyle w:val="16"/>
        <w:keepNext w:val="0"/>
        <w:keepLines w:val="0"/>
        <w:pageBreakBefore w:val="0"/>
        <w:widowControl w:val="0"/>
        <w:numPr>
          <w:ilvl w:val="0"/>
          <w:numId w:val="3"/>
        </w:numPr>
        <w:kinsoku/>
        <w:wordWrap/>
        <w:overflowPunct/>
        <w:topLinePunct w:val="0"/>
        <w:autoSpaceDE/>
        <w:autoSpaceDN/>
        <w:bidi w:val="0"/>
        <w:adjustRightInd/>
        <w:snapToGrid/>
        <w:spacing w:line="240" w:lineRule="auto"/>
        <w:ind w:left="21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w:t>
      </w:r>
    </w:p>
    <w:p w14:paraId="6847C0FF">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（1）产品质量标准符合国家标准、行业要求。</w:t>
      </w:r>
    </w:p>
    <w:p w14:paraId="3E9C0A3B">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（2）样式：扣手袋， 样式别称：四指袋 ，尺寸规定见《五通桥区人民医院CT片包装塑料袋（尺寸）采购要求》。</w:t>
      </w:r>
    </w:p>
    <w:p w14:paraId="1B5B3985">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（3）塑料CT片袋材质：化学符号HDPE（高密度聚乙烯）或者LDPE（低密度聚乙烯），全新料，一般厚度为8丝～16丝。CT、MRI片袋（大袋）重量为：18～20克、DR片袋（小袋）重量为：8～10克。</w:t>
      </w:r>
    </w:p>
    <w:p w14:paraId="54659890">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（4）印刷工艺：胶版印刷，纯文字，单色文字（蓝）。</w:t>
      </w:r>
    </w:p>
    <w:p w14:paraId="763359CF">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（5）文字要求见《五通桥区人民医院CT片包装塑料袋（尺寸）采购要求》。制版之后，乙方要传与甲方审核，合格之后才能开始印制。</w:t>
      </w:r>
    </w:p>
    <w:p w14:paraId="35BAC2B1">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5、违约责任及解决争议的方法：合同履行期间，若双方发生争议，可协商或由有关部门协调解决，协商或协调不成功的，双方均可向五通桥区人民法院提起诉讼依法维护其合法权益。</w:t>
      </w:r>
    </w:p>
    <w:p w14:paraId="20EFBAE2">
      <w:pPr>
        <w:rPr>
          <w:rFonts w:hint="eastAsia" w:ascii="黑体" w:hAnsi="黑体" w:eastAsia="黑体" w:cs="黑体"/>
          <w:lang w:eastAsia="zh-CN"/>
        </w:rPr>
      </w:pPr>
    </w:p>
    <w:p w14:paraId="6F50977A">
      <w:pPr>
        <w:pStyle w:val="16"/>
        <w:rPr>
          <w:rFonts w:hint="eastAsia" w:ascii="黑体" w:hAnsi="黑体" w:eastAsia="黑体" w:cs="黑体"/>
          <w:lang w:eastAsia="zh-CN"/>
        </w:rPr>
      </w:pPr>
    </w:p>
    <w:p w14:paraId="5596F843">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14:paraId="6A3AF52D">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22AAB88B">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F98779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513A921E">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7FD5DD8">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99EF7B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E0B73F6">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4C019192">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1E8546B8">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2F1C6BB">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BB5BEC6">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90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0132CDAB">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满足招标文件要求且投标价格最低的投标报价为评标基准价，其价格分为满分。其他供应商的价格分统一按照下列公式计算：投标报价得分=(评标基准价÷投标报价)×90%×100；（最低价基准法）</w:t>
            </w:r>
          </w:p>
          <w:p w14:paraId="746D502A">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E388827">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73A0D355">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783DCA1E">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397D554">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质量</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0EC7D41D">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6690FC9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2种塑料袋大小、厚度、外观、质量完全满足要求得10分，每项略有不足扣0.5分，完全不满足扣1.25分。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60E2AB58">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14:paraId="4AB6F860">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1E8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4250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64250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963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E715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5E715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B5F3">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E437">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7585181"/>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8C04D8"/>
    <w:rsid w:val="1FFB4E00"/>
    <w:rsid w:val="200C1DCC"/>
    <w:rsid w:val="2024443A"/>
    <w:rsid w:val="20B62B46"/>
    <w:rsid w:val="20B86F62"/>
    <w:rsid w:val="20DA469D"/>
    <w:rsid w:val="20FE1BC2"/>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2C59A2"/>
    <w:rsid w:val="2C3A64AA"/>
    <w:rsid w:val="2C603C27"/>
    <w:rsid w:val="2CC9483E"/>
    <w:rsid w:val="2CD61AC0"/>
    <w:rsid w:val="2D003A0D"/>
    <w:rsid w:val="2D225054"/>
    <w:rsid w:val="2D3E76EB"/>
    <w:rsid w:val="2D675D4F"/>
    <w:rsid w:val="2DAD2928"/>
    <w:rsid w:val="2E3D6C9E"/>
    <w:rsid w:val="2E681D4B"/>
    <w:rsid w:val="2E763F41"/>
    <w:rsid w:val="2ED755ED"/>
    <w:rsid w:val="2EE13C4F"/>
    <w:rsid w:val="2EFF3B7B"/>
    <w:rsid w:val="2F2D5CF3"/>
    <w:rsid w:val="2FFD053A"/>
    <w:rsid w:val="305074F8"/>
    <w:rsid w:val="30567424"/>
    <w:rsid w:val="30A47F0F"/>
    <w:rsid w:val="30B05110"/>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8E5633D"/>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041D82"/>
    <w:rsid w:val="4A2F0F8F"/>
    <w:rsid w:val="4B21070C"/>
    <w:rsid w:val="4C6D260E"/>
    <w:rsid w:val="4CA65850"/>
    <w:rsid w:val="4D4867BB"/>
    <w:rsid w:val="4D7854C0"/>
    <w:rsid w:val="4E1C022A"/>
    <w:rsid w:val="4E1E1D89"/>
    <w:rsid w:val="4FA771C2"/>
    <w:rsid w:val="4FDC7DDA"/>
    <w:rsid w:val="5003209D"/>
    <w:rsid w:val="50730146"/>
    <w:rsid w:val="508E2B4E"/>
    <w:rsid w:val="524A480D"/>
    <w:rsid w:val="5263348D"/>
    <w:rsid w:val="527E7420"/>
    <w:rsid w:val="5292301A"/>
    <w:rsid w:val="52C10CD7"/>
    <w:rsid w:val="52F64CB8"/>
    <w:rsid w:val="52FB39A7"/>
    <w:rsid w:val="531641E9"/>
    <w:rsid w:val="5446604D"/>
    <w:rsid w:val="547E1AE0"/>
    <w:rsid w:val="54F554AC"/>
    <w:rsid w:val="551A0D5D"/>
    <w:rsid w:val="55442276"/>
    <w:rsid w:val="55576D1C"/>
    <w:rsid w:val="55EE4C06"/>
    <w:rsid w:val="561A148B"/>
    <w:rsid w:val="565B213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3E97F56"/>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3C28CF"/>
    <w:rsid w:val="6F980943"/>
    <w:rsid w:val="6F9F7F7D"/>
    <w:rsid w:val="719A4F83"/>
    <w:rsid w:val="71DE50A5"/>
    <w:rsid w:val="722B548E"/>
    <w:rsid w:val="722E4AEA"/>
    <w:rsid w:val="73683978"/>
    <w:rsid w:val="73F43F5E"/>
    <w:rsid w:val="7438150C"/>
    <w:rsid w:val="746F037C"/>
    <w:rsid w:val="74802750"/>
    <w:rsid w:val="74F82EAA"/>
    <w:rsid w:val="75457DB7"/>
    <w:rsid w:val="7563067A"/>
    <w:rsid w:val="75E55D62"/>
    <w:rsid w:val="76466533"/>
    <w:rsid w:val="77F97E1C"/>
    <w:rsid w:val="785111E8"/>
    <w:rsid w:val="78E831F4"/>
    <w:rsid w:val="79AC141B"/>
    <w:rsid w:val="79B51E35"/>
    <w:rsid w:val="79EA27D4"/>
    <w:rsid w:val="79EC6752"/>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5678</Words>
  <Characters>5929</Characters>
  <Lines>0</Lines>
  <Paragraphs>0</Paragraphs>
  <TotalTime>11</TotalTime>
  <ScaleCrop>false</ScaleCrop>
  <LinksUpToDate>false</LinksUpToDate>
  <CharactersWithSpaces>6121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2019-09-23T08:20:00Z</cp:lastPrinted>
  <dcterms:modified xsi:type="dcterms:W3CDTF">2024-09-20T01:31:45Z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6F48A25E1CA9488A9F55693863D49B3D</vt:lpwstr>
  </property>
</Properties>
</file>