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3C5C">
      <w:pPr>
        <w:jc w:val="center"/>
        <w:rPr>
          <w:rFonts w:hint="eastAsia" w:ascii="黑体" w:hAnsi="黑体" w:eastAsia="黑体" w:cs="黑体"/>
          <w:sz w:val="32"/>
          <w:szCs w:val="32"/>
          <w:lang w:eastAsia="zh-CN"/>
        </w:rPr>
      </w:pPr>
    </w:p>
    <w:p w14:paraId="15FFAF62">
      <w:pPr>
        <w:jc w:val="center"/>
        <w:rPr>
          <w:rFonts w:hint="eastAsia" w:ascii="黑体" w:hAnsi="黑体" w:eastAsia="黑体" w:cs="黑体"/>
          <w:sz w:val="32"/>
          <w:szCs w:val="32"/>
          <w:lang w:eastAsia="zh-CN"/>
        </w:rPr>
      </w:pPr>
    </w:p>
    <w:p w14:paraId="786119B2">
      <w:pPr>
        <w:jc w:val="center"/>
        <w:rPr>
          <w:rFonts w:hint="eastAsia" w:ascii="黑体" w:hAnsi="黑体" w:eastAsia="黑体" w:cs="黑体"/>
          <w:sz w:val="32"/>
          <w:szCs w:val="32"/>
          <w:lang w:eastAsia="zh-CN"/>
        </w:rPr>
      </w:pPr>
    </w:p>
    <w:p w14:paraId="1B7E6FAA">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4DFCBB13">
      <w:pPr>
        <w:pStyle w:val="7"/>
        <w:rPr>
          <w:rFonts w:hint="eastAsia" w:ascii="黑体" w:hAnsi="黑体" w:eastAsia="黑体" w:cs="黑体"/>
          <w:lang w:eastAsia="zh-CN"/>
        </w:rPr>
      </w:pPr>
    </w:p>
    <w:p w14:paraId="473B5FD5">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14:paraId="614EA751">
      <w:pPr>
        <w:jc w:val="center"/>
        <w:rPr>
          <w:rFonts w:hint="eastAsia" w:ascii="黑体" w:hAnsi="黑体" w:eastAsia="黑体" w:cs="黑体"/>
          <w:sz w:val="32"/>
          <w:szCs w:val="32"/>
          <w:lang w:eastAsia="zh-CN"/>
        </w:rPr>
      </w:pPr>
    </w:p>
    <w:p w14:paraId="0DAEED98">
      <w:pPr>
        <w:jc w:val="center"/>
        <w:rPr>
          <w:rFonts w:hint="eastAsia" w:ascii="黑体" w:hAnsi="黑体" w:eastAsia="黑体" w:cs="黑体"/>
          <w:sz w:val="32"/>
          <w:szCs w:val="32"/>
          <w:lang w:eastAsia="zh-CN"/>
        </w:rPr>
      </w:pPr>
    </w:p>
    <w:p w14:paraId="33B1DC66">
      <w:pPr>
        <w:pStyle w:val="8"/>
        <w:rPr>
          <w:rFonts w:hint="eastAsia" w:ascii="黑体" w:hAnsi="黑体" w:eastAsia="黑体" w:cs="黑体"/>
          <w:sz w:val="32"/>
          <w:szCs w:val="32"/>
          <w:lang w:eastAsia="zh-CN"/>
        </w:rPr>
      </w:pPr>
    </w:p>
    <w:p w14:paraId="011C7F28">
      <w:pPr>
        <w:pStyle w:val="8"/>
        <w:rPr>
          <w:rFonts w:hint="eastAsia" w:ascii="黑体" w:hAnsi="黑体" w:eastAsia="黑体" w:cs="黑体"/>
          <w:sz w:val="32"/>
          <w:szCs w:val="32"/>
          <w:lang w:eastAsia="zh-CN"/>
        </w:rPr>
      </w:pPr>
    </w:p>
    <w:p w14:paraId="0EC8C0A9">
      <w:pPr>
        <w:pStyle w:val="8"/>
        <w:rPr>
          <w:rFonts w:hint="eastAsia" w:ascii="黑体" w:hAnsi="黑体" w:eastAsia="黑体" w:cs="黑体"/>
          <w:sz w:val="32"/>
          <w:szCs w:val="32"/>
          <w:lang w:eastAsia="zh-CN"/>
        </w:rPr>
      </w:pPr>
    </w:p>
    <w:p w14:paraId="02379734">
      <w:pPr>
        <w:pStyle w:val="8"/>
        <w:rPr>
          <w:rFonts w:hint="eastAsia" w:ascii="黑体" w:hAnsi="黑体" w:eastAsia="黑体" w:cs="黑体"/>
          <w:sz w:val="32"/>
          <w:szCs w:val="32"/>
          <w:lang w:eastAsia="zh-CN"/>
        </w:rPr>
      </w:pPr>
    </w:p>
    <w:p w14:paraId="70F8489F">
      <w:pPr>
        <w:pStyle w:val="8"/>
        <w:rPr>
          <w:rFonts w:hint="eastAsia" w:ascii="黑体" w:hAnsi="黑体" w:eastAsia="黑体" w:cs="黑体"/>
          <w:sz w:val="40"/>
          <w:szCs w:val="40"/>
          <w:lang w:eastAsia="zh-CN"/>
        </w:rPr>
      </w:pPr>
    </w:p>
    <w:p w14:paraId="301A0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微软雅黑" w:hAnsi="微软雅黑" w:eastAsia="宋体" w:cs="微软雅黑"/>
          <w:b w:val="0"/>
          <w:bCs w:val="0"/>
          <w:i w:val="0"/>
          <w:iCs w:val="0"/>
          <w:caps w:val="0"/>
          <w:color w:val="007575"/>
          <w:spacing w:val="0"/>
          <w:sz w:val="30"/>
          <w:szCs w:val="3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血糖试纸配送服务采购公告</w:t>
      </w:r>
    </w:p>
    <w:p w14:paraId="3CE0625D">
      <w:pPr>
        <w:jc w:val="center"/>
        <w:rPr>
          <w:rFonts w:hint="default" w:ascii="黑体" w:hAnsi="黑体" w:eastAsia="黑体" w:cs="黑体"/>
          <w:sz w:val="40"/>
          <w:szCs w:val="40"/>
          <w:lang w:val="en-US" w:eastAsia="zh-CN"/>
        </w:rPr>
      </w:pPr>
    </w:p>
    <w:p w14:paraId="2F0F2931">
      <w:pPr>
        <w:pStyle w:val="7"/>
        <w:rPr>
          <w:rFonts w:hint="eastAsia" w:ascii="黑体" w:hAnsi="黑体" w:eastAsia="黑体" w:cs="黑体"/>
          <w:lang w:val="en-US" w:eastAsia="zh-CN"/>
        </w:rPr>
      </w:pPr>
    </w:p>
    <w:p w14:paraId="22CDE72D">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YNCG2024013</w:t>
      </w:r>
    </w:p>
    <w:p w14:paraId="3357497F">
      <w:pPr>
        <w:jc w:val="center"/>
        <w:rPr>
          <w:rFonts w:hint="eastAsia" w:ascii="黑体" w:hAnsi="黑体" w:eastAsia="黑体" w:cs="黑体"/>
          <w:sz w:val="40"/>
          <w:szCs w:val="40"/>
          <w:lang w:eastAsia="zh-CN"/>
        </w:rPr>
      </w:pPr>
    </w:p>
    <w:p w14:paraId="3C3D3E98">
      <w:pPr>
        <w:jc w:val="center"/>
        <w:rPr>
          <w:rFonts w:hint="eastAsia" w:ascii="黑体" w:hAnsi="黑体" w:eastAsia="黑体" w:cs="黑体"/>
          <w:sz w:val="40"/>
          <w:szCs w:val="40"/>
          <w:lang w:eastAsia="zh-CN"/>
        </w:rPr>
      </w:pPr>
    </w:p>
    <w:p w14:paraId="114B1824">
      <w:pPr>
        <w:jc w:val="center"/>
        <w:rPr>
          <w:rFonts w:hint="eastAsia" w:ascii="黑体" w:hAnsi="黑体" w:eastAsia="黑体" w:cs="黑体"/>
          <w:sz w:val="40"/>
          <w:szCs w:val="40"/>
          <w:lang w:eastAsia="zh-CN"/>
        </w:rPr>
      </w:pPr>
    </w:p>
    <w:p w14:paraId="16354382">
      <w:pPr>
        <w:jc w:val="center"/>
        <w:rPr>
          <w:rFonts w:hint="eastAsia" w:ascii="黑体" w:hAnsi="黑体" w:eastAsia="黑体" w:cs="黑体"/>
          <w:sz w:val="40"/>
          <w:szCs w:val="40"/>
          <w:lang w:eastAsia="zh-CN"/>
        </w:rPr>
      </w:pPr>
    </w:p>
    <w:p w14:paraId="6207208E">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7F469B0D">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10月</w:t>
      </w:r>
      <w:r>
        <w:rPr>
          <w:rFonts w:hint="eastAsia" w:ascii="黑体" w:hAnsi="黑体" w:eastAsia="黑体" w:cs="黑体"/>
          <w:sz w:val="40"/>
          <w:szCs w:val="40"/>
          <w:lang w:eastAsia="zh-CN"/>
        </w:rPr>
        <w:br w:type="page"/>
      </w:r>
    </w:p>
    <w:p w14:paraId="6AA71EAB">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170A8539">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4741245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0C489E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YNCG2024013  ，项目包数量：1个</w:t>
      </w:r>
    </w:p>
    <w:p w14:paraId="607C8EF0">
      <w:pPr>
        <w:pStyle w:val="17"/>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二、项目背景：我院拟对血糖试纸配送服务进行院内采购。</w:t>
      </w:r>
    </w:p>
    <w:p w14:paraId="4BDD1F5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14:paraId="60DDCE0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D2AD82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14:paraId="2B8C650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14:paraId="7355B7B5">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14:paraId="00DFAB0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14:paraId="57DE1F8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14:paraId="3152339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14:paraId="543159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以上资料至少2套，请满足上述资质要求的供应商于2024年11月6日17:00之前将资料送至乐山市五通桥区人民医院采购办（行政楼三楼楼梯处），在截至时间以后送到的响应文件将被拒绝并退还给供应商。</w:t>
      </w:r>
    </w:p>
    <w:p w14:paraId="6637B33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6CB4C32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41C1747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14:paraId="1AEB1A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p>
    <w:p w14:paraId="2D7A07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蒋</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14:paraId="1C6DCC0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404C0E97">
      <w:pPr>
        <w:spacing w:line="300" w:lineRule="exact"/>
        <w:jc w:val="center"/>
        <w:rPr>
          <w:rFonts w:hint="eastAsia" w:ascii="仿宋" w:hAnsi="仿宋" w:eastAsia="仿宋" w:cs="仿宋"/>
          <w:b/>
          <w:sz w:val="32"/>
          <w:szCs w:val="32"/>
          <w:lang w:eastAsia="zh-CN"/>
        </w:rPr>
      </w:pPr>
    </w:p>
    <w:p w14:paraId="47D77EAA">
      <w:pPr>
        <w:pStyle w:val="9"/>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216A3931">
      <w:pPr>
        <w:pStyle w:val="33"/>
        <w:spacing w:line="240" w:lineRule="auto"/>
        <w:rPr>
          <w:rFonts w:hint="eastAsia"/>
          <w:lang w:eastAsia="zh-CN"/>
        </w:rPr>
      </w:pPr>
    </w:p>
    <w:p w14:paraId="30946B1D">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674CED97">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828E68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261C335A">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157AC4F2">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7F4925F7">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082198F5">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血糖试纸配送服务采购公告</w:t>
      </w:r>
      <w:r>
        <w:rPr>
          <w:rFonts w:hint="eastAsia" w:ascii="仿宋" w:hAnsi="仿宋" w:eastAsia="仿宋" w:cs="仿宋"/>
          <w:sz w:val="32"/>
          <w:szCs w:val="32"/>
        </w:rPr>
        <w:t>”，“项目编号：</w:t>
      </w:r>
      <w:r>
        <w:rPr>
          <w:rFonts w:hint="eastAsia" w:ascii="仿宋" w:hAnsi="仿宋" w:eastAsia="仿宋" w:cs="仿宋"/>
          <w:color w:val="555555"/>
          <w:kern w:val="0"/>
          <w:sz w:val="32"/>
          <w:szCs w:val="32"/>
          <w:lang w:val="en-US" w:eastAsia="zh-CN"/>
        </w:rPr>
        <w:t>YNCG2024013</w:t>
      </w:r>
      <w:r>
        <w:rPr>
          <w:rFonts w:hint="eastAsia" w:ascii="仿宋" w:hAnsi="仿宋" w:eastAsia="仿宋" w:cs="仿宋"/>
          <w:sz w:val="32"/>
          <w:szCs w:val="32"/>
        </w:rPr>
        <w:t xml:space="preserve"> ”，“询价响应文件”，“于</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分前不得拆封”等字样。未按询价文件要求密封的响应文件将被拒收。</w:t>
      </w:r>
    </w:p>
    <w:p w14:paraId="3E1EB8F1">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6BAAA684">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76C2C1D1">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35856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7CB83E97">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140DED7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D3F776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340B457B">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70574119">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63A6B7D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241FECF6">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5665C6A6">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071432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5652C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412A31B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425CD27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75EF3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79003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52534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19948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8DFD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FC34F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1E45F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12CAF5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5458EE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14:paraId="202CB9F4">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1B4441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069D6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3416F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73A6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2F36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274FA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57A29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12B7A4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C987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5C8C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3BA245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4DCBD579">
      <w:pPr>
        <w:pStyle w:val="7"/>
        <w:ind w:left="0" w:leftChars="0" w:firstLine="0" w:firstLineChars="0"/>
        <w:rPr>
          <w:rFonts w:hint="eastAsia" w:ascii="黑体" w:hAnsi="黑体" w:eastAsia="黑体" w:cs="黑体"/>
          <w:lang w:eastAsia="zh-CN"/>
        </w:rPr>
      </w:pPr>
    </w:p>
    <w:p w14:paraId="5DFB5C74">
      <w:pPr>
        <w:rPr>
          <w:rFonts w:hint="eastAsia" w:ascii="黑体" w:hAnsi="黑体" w:eastAsia="黑体" w:cs="黑体"/>
          <w:lang w:val="en-US" w:eastAsia="zh-CN"/>
        </w:rPr>
      </w:pPr>
    </w:p>
    <w:p w14:paraId="1D40CFA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81A9A93">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36BEC404">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55A45B9">
      <w:pPr>
        <w:spacing w:line="400" w:lineRule="exact"/>
        <w:ind w:firstLine="4897" w:firstLineChars="583"/>
        <w:rPr>
          <w:rFonts w:hint="eastAsia" w:ascii="黑体" w:hAnsi="黑体" w:eastAsia="黑体" w:cs="黑体"/>
          <w:sz w:val="84"/>
          <w:szCs w:val="84"/>
          <w:lang w:eastAsia="zh-CN"/>
        </w:rPr>
      </w:pPr>
    </w:p>
    <w:p w14:paraId="28765C43">
      <w:pPr>
        <w:pStyle w:val="9"/>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询价采购文件</w:t>
      </w:r>
    </w:p>
    <w:p w14:paraId="776FE13D">
      <w:pPr>
        <w:rPr>
          <w:rFonts w:hint="eastAsia" w:ascii="黑体" w:hAnsi="黑体" w:eastAsia="黑体" w:cs="黑体"/>
          <w:sz w:val="84"/>
          <w:szCs w:val="84"/>
          <w:lang w:val="en-US" w:eastAsia="zh-CN"/>
        </w:rPr>
      </w:pPr>
    </w:p>
    <w:p w14:paraId="08D29A2A">
      <w:pPr>
        <w:pStyle w:val="9"/>
        <w:rPr>
          <w:rFonts w:hint="eastAsia" w:ascii="黑体" w:hAnsi="黑体" w:eastAsia="黑体" w:cs="黑体"/>
          <w:lang w:val="en-US" w:eastAsia="zh-CN"/>
        </w:rPr>
      </w:pPr>
    </w:p>
    <w:p w14:paraId="409A0A96">
      <w:pPr>
        <w:spacing w:line="400" w:lineRule="exact"/>
        <w:ind w:firstLine="4897" w:firstLineChars="583"/>
        <w:rPr>
          <w:rFonts w:hint="eastAsia" w:ascii="黑体" w:hAnsi="黑体" w:eastAsia="黑体" w:cs="黑体"/>
          <w:sz w:val="84"/>
          <w:szCs w:val="84"/>
        </w:rPr>
      </w:pPr>
    </w:p>
    <w:p w14:paraId="76C1C0D9">
      <w:pPr>
        <w:spacing w:line="400" w:lineRule="exact"/>
        <w:ind w:firstLine="4897" w:firstLineChars="583"/>
        <w:rPr>
          <w:rFonts w:hint="eastAsia" w:ascii="黑体" w:hAnsi="黑体" w:eastAsia="黑体" w:cs="黑体"/>
          <w:sz w:val="84"/>
          <w:szCs w:val="84"/>
        </w:rPr>
      </w:pPr>
    </w:p>
    <w:p w14:paraId="58F67AEF">
      <w:pPr>
        <w:spacing w:line="400" w:lineRule="exact"/>
        <w:rPr>
          <w:rFonts w:hint="eastAsia" w:ascii="黑体" w:hAnsi="黑体" w:eastAsia="黑体" w:cs="黑体"/>
          <w:b/>
          <w:bCs/>
          <w:sz w:val="30"/>
          <w:szCs w:val="30"/>
        </w:rPr>
      </w:pPr>
    </w:p>
    <w:p w14:paraId="291E71FA">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BB12F8F">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6BF458A">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2DA842FC">
      <w:pPr>
        <w:widowControl w:val="0"/>
        <w:adjustRightInd/>
        <w:spacing w:line="360" w:lineRule="auto"/>
        <w:ind w:firstLine="315" w:firstLineChars="98"/>
        <w:rPr>
          <w:rFonts w:hint="eastAsia" w:ascii="黑体" w:hAnsi="黑体" w:eastAsia="黑体" w:cs="黑体"/>
          <w:b/>
          <w:bCs/>
          <w:sz w:val="32"/>
          <w:szCs w:val="32"/>
        </w:rPr>
      </w:pPr>
    </w:p>
    <w:p w14:paraId="7CC6881A">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E35BFC4">
      <w:pPr>
        <w:rPr>
          <w:rFonts w:hint="eastAsia" w:ascii="黑体" w:hAnsi="黑体" w:eastAsia="黑体" w:cs="黑体"/>
          <w:b/>
          <w:bCs/>
          <w:sz w:val="32"/>
          <w:szCs w:val="32"/>
        </w:rPr>
      </w:pPr>
      <w:bookmarkStart w:id="0" w:name="_Toc25737"/>
      <w:bookmarkStart w:id="1" w:name="_Toc18458"/>
      <w:bookmarkStart w:id="2" w:name="_Toc5773"/>
      <w:bookmarkStart w:id="3" w:name="_Toc9490"/>
      <w:r>
        <w:rPr>
          <w:rFonts w:hint="eastAsia" w:ascii="黑体" w:hAnsi="黑体" w:eastAsia="黑体" w:cs="黑体"/>
          <w:b/>
          <w:bCs/>
          <w:sz w:val="32"/>
          <w:szCs w:val="32"/>
        </w:rPr>
        <w:br w:type="page"/>
      </w:r>
    </w:p>
    <w:bookmarkEnd w:id="0"/>
    <w:bookmarkEnd w:id="1"/>
    <w:bookmarkEnd w:id="2"/>
    <w:bookmarkEnd w:id="3"/>
    <w:p w14:paraId="0D0F93A1">
      <w:pPr>
        <w:numPr>
          <w:ilvl w:val="0"/>
          <w:numId w:val="2"/>
        </w:numPr>
        <w:jc w:val="center"/>
        <w:rPr>
          <w:rFonts w:hint="eastAsia" w:ascii="黑体" w:hAnsi="黑体" w:eastAsia="黑体" w:cs="黑体"/>
          <w:b/>
          <w:sz w:val="36"/>
          <w:szCs w:val="36"/>
          <w:lang w:val="en-US" w:eastAsia="zh-CN"/>
        </w:rPr>
      </w:pPr>
      <w:bookmarkStart w:id="4" w:name="_Toc17549"/>
      <w:bookmarkStart w:id="5" w:name="_Toc12449"/>
      <w:bookmarkStart w:id="6" w:name="_Toc439699516"/>
      <w:bookmarkStart w:id="7" w:name="_Toc4003"/>
      <w:r>
        <w:rPr>
          <w:rFonts w:hint="eastAsia" w:ascii="黑体" w:hAnsi="黑体" w:eastAsia="黑体" w:cs="黑体"/>
          <w:b/>
          <w:sz w:val="36"/>
          <w:szCs w:val="36"/>
          <w:lang w:val="en-US" w:eastAsia="zh-CN"/>
        </w:rPr>
        <w:t>采购资质要求</w:t>
      </w:r>
    </w:p>
    <w:p w14:paraId="4A29D215">
      <w:pPr>
        <w:pStyle w:val="9"/>
        <w:rPr>
          <w:rFonts w:hint="eastAsia" w:ascii="黑体" w:hAnsi="黑体" w:eastAsia="黑体" w:cs="黑体"/>
          <w:b/>
          <w:sz w:val="36"/>
          <w:szCs w:val="36"/>
          <w:lang w:val="en-US" w:eastAsia="zh-CN"/>
        </w:rPr>
      </w:pPr>
    </w:p>
    <w:p w14:paraId="7961E042">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186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72A9E62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0391E5D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84720F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33D8A8C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07A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71" w:type="pct"/>
            <w:noWrap w:val="0"/>
            <w:vAlign w:val="center"/>
          </w:tcPr>
          <w:p w14:paraId="7DB49BE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703AD70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供应商有效的企业法人营业执照副本、税务登记证、组织机构代码证副本、医疗器械经营许可证等有效证件复印件（若供应商已办理三证合一的，则只需提供有效的三证合一证书）；</w:t>
            </w:r>
          </w:p>
          <w:p w14:paraId="73F6341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723478E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E04CE8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4DC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480C669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49D8799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331B585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A1B67D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6545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39E56C0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2C4AF973">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2773E11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C7BF14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3D7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4DB662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411BAB7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32DF1C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3C91F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3F8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3D2FD12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0DF5BC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w:t>
            </w:r>
            <w:r>
              <w:rPr>
                <w:rFonts w:hint="eastAsia" w:ascii="仿宋" w:hAnsi="仿宋" w:eastAsia="仿宋" w:cs="仿宋"/>
                <w:color w:val="000000"/>
                <w:spacing w:val="2"/>
                <w:sz w:val="32"/>
                <w:szCs w:val="32"/>
                <w:lang w:eastAsia="zh-CN"/>
              </w:rPr>
              <w:t>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14:paraId="6AE6C0B1">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55A1377B">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616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shd w:val="clear" w:color="auto" w:fill="auto"/>
            <w:noWrap w:val="0"/>
            <w:vAlign w:val="center"/>
          </w:tcPr>
          <w:p w14:paraId="46C9CF2E">
            <w:pPr>
              <w:snapToGrid w:val="0"/>
              <w:spacing w:line="240" w:lineRule="auto"/>
              <w:contextualSpacing/>
              <w:rPr>
                <w:rFonts w:hint="default"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6</w:t>
            </w:r>
          </w:p>
        </w:tc>
        <w:tc>
          <w:tcPr>
            <w:tcW w:w="3176" w:type="pct"/>
            <w:shd w:val="clear" w:color="auto" w:fill="auto"/>
            <w:noWrap w:val="0"/>
            <w:vAlign w:val="center"/>
          </w:tcPr>
          <w:p w14:paraId="16022D43">
            <w:pPr>
              <w:snapToGrid w:val="0"/>
              <w:spacing w:line="240" w:lineRule="auto"/>
              <w:contextualSpacing/>
              <w:rPr>
                <w:rFonts w:hint="default" w:ascii="仿宋" w:hAnsi="仿宋" w:eastAsia="仿宋" w:cs="仿宋"/>
                <w:color w:val="FF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2022年以来2个同类业绩</w:t>
            </w:r>
          </w:p>
        </w:tc>
        <w:tc>
          <w:tcPr>
            <w:tcW w:w="512" w:type="pct"/>
            <w:shd w:val="clear" w:color="auto" w:fill="auto"/>
            <w:noWrap w:val="0"/>
            <w:vAlign w:val="center"/>
          </w:tcPr>
          <w:p w14:paraId="773BBCE1">
            <w:pPr>
              <w:snapToGrid w:val="0"/>
              <w:spacing w:line="240" w:lineRule="auto"/>
              <w:contextualSpacing/>
              <w:rPr>
                <w:rFonts w:hint="eastAsia" w:ascii="仿宋" w:hAnsi="仿宋" w:eastAsia="仿宋" w:cs="仿宋"/>
                <w:color w:val="FF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40" w:type="pct"/>
            <w:shd w:val="clear" w:color="auto" w:fill="auto"/>
            <w:noWrap w:val="0"/>
            <w:vAlign w:val="center"/>
          </w:tcPr>
          <w:p w14:paraId="1B719DA7">
            <w:pPr>
              <w:snapToGrid w:val="0"/>
              <w:spacing w:line="240" w:lineRule="auto"/>
              <w:contextualSpacing/>
              <w:rPr>
                <w:rFonts w:hint="eastAsia" w:ascii="仿宋" w:hAnsi="仿宋" w:eastAsia="仿宋" w:cs="仿宋"/>
                <w:color w:val="FF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bl>
    <w:p w14:paraId="258AA1EF">
      <w:pPr>
        <w:pStyle w:val="24"/>
        <w:rPr>
          <w:rFonts w:hint="eastAsia" w:ascii="仿宋" w:hAnsi="仿宋" w:eastAsia="仿宋" w:cs="仿宋"/>
          <w:color w:val="auto"/>
          <w:sz w:val="30"/>
          <w:szCs w:val="30"/>
          <w:highlight w:val="none"/>
          <w:lang w:eastAsia="zh-CN"/>
        </w:rPr>
      </w:pPr>
    </w:p>
    <w:p w14:paraId="41FA36FB">
      <w:pPr>
        <w:rPr>
          <w:rFonts w:hint="eastAsia" w:ascii="仿宋" w:hAnsi="仿宋" w:eastAsia="仿宋" w:cs="仿宋"/>
          <w:color w:val="auto"/>
          <w:sz w:val="30"/>
          <w:szCs w:val="30"/>
          <w:highlight w:val="none"/>
          <w:lang w:eastAsia="zh-CN"/>
        </w:rPr>
      </w:pPr>
    </w:p>
    <w:p w14:paraId="1D280AC4">
      <w:pPr>
        <w:pStyle w:val="9"/>
        <w:rPr>
          <w:rFonts w:hint="eastAsia"/>
          <w:lang w:eastAsia="zh-CN"/>
        </w:rPr>
      </w:pPr>
    </w:p>
    <w:p w14:paraId="2AC6E643">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72384360">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79B76705">
      <w:pPr>
        <w:pStyle w:val="9"/>
        <w:rPr>
          <w:rFonts w:hint="eastAsia" w:ascii="黑体" w:hAnsi="黑体" w:eastAsia="黑体" w:cs="黑体"/>
          <w:sz w:val="28"/>
          <w:szCs w:val="28"/>
        </w:rPr>
      </w:pPr>
    </w:p>
    <w:p w14:paraId="0E053CA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1844F6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42C3FAF">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6BA5E4E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37B9E6E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2102CC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3DB3E73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06044A7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767F1C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257C1B8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7E2877D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557EE24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85C2C5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2E60118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3D3D22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6B12CA2F">
      <w:pPr>
        <w:pStyle w:val="9"/>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288A132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2D2A2AE">
      <w:pPr>
        <w:pStyle w:val="32"/>
        <w:rPr>
          <w:rFonts w:hint="eastAsia" w:ascii="仿宋" w:hAnsi="仿宋" w:eastAsia="仿宋" w:cs="仿宋"/>
          <w:sz w:val="32"/>
          <w:szCs w:val="32"/>
        </w:rPr>
      </w:pPr>
    </w:p>
    <w:p w14:paraId="173EAEB2">
      <w:pPr>
        <w:rPr>
          <w:rFonts w:hint="eastAsia"/>
        </w:rPr>
      </w:pPr>
    </w:p>
    <w:p w14:paraId="1B6407CB">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62708069">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3D9B343A">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312DDCA0">
      <w:pPr>
        <w:pStyle w:val="9"/>
        <w:adjustRightInd w:val="0"/>
        <w:snapToGrid w:val="0"/>
        <w:spacing w:after="0" w:line="360" w:lineRule="auto"/>
        <w:ind w:firstLine="560" w:firstLineChars="200"/>
        <w:rPr>
          <w:rFonts w:hint="eastAsia" w:ascii="黑体" w:hAnsi="黑体" w:eastAsia="黑体" w:cs="黑体"/>
          <w:sz w:val="28"/>
          <w:szCs w:val="28"/>
          <w:lang w:eastAsia="zh-CN"/>
        </w:rPr>
      </w:pPr>
    </w:p>
    <w:p w14:paraId="4377CDC5">
      <w:pPr>
        <w:pStyle w:val="9"/>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0EB3E945">
      <w:pPr>
        <w:spacing w:beforeLines="100" w:afterLines="200" w:line="320" w:lineRule="exact"/>
        <w:jc w:val="center"/>
        <w:rPr>
          <w:rFonts w:hint="eastAsia" w:ascii="黑体" w:hAnsi="黑体" w:eastAsia="黑体" w:cs="黑体"/>
          <w:color w:val="auto"/>
          <w:sz w:val="40"/>
          <w:szCs w:val="40"/>
        </w:rPr>
      </w:pPr>
      <w:bookmarkStart w:id="8" w:name="_Toc199"/>
      <w:bookmarkStart w:id="9" w:name="_Toc16184"/>
      <w:bookmarkStart w:id="10" w:name="_Toc1287"/>
      <w:bookmarkStart w:id="11" w:name="_Toc439699522"/>
      <w:bookmarkStart w:id="12" w:name="_Toc1800"/>
      <w:bookmarkStart w:id="13" w:name="_Toc12426"/>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240D4397">
      <w:pPr>
        <w:pStyle w:val="30"/>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257A6292">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3DBF7B63">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63FDDEBD">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6066E8D">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6F996B50">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5A3334F9">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5AF7FC7">
      <w:pPr>
        <w:pStyle w:val="30"/>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53C1843A">
      <w:pPr>
        <w:pStyle w:val="30"/>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992BFB6">
      <w:pPr>
        <w:pStyle w:val="30"/>
        <w:spacing w:line="240" w:lineRule="auto"/>
        <w:ind w:firstLine="0"/>
        <w:rPr>
          <w:rFonts w:hint="eastAsia" w:ascii="仿宋" w:hAnsi="仿宋" w:eastAsia="仿宋" w:cs="仿宋"/>
          <w:color w:val="auto"/>
          <w:sz w:val="32"/>
          <w:szCs w:val="32"/>
        </w:rPr>
      </w:pPr>
    </w:p>
    <w:p w14:paraId="64D043B3">
      <w:pPr>
        <w:pStyle w:val="30"/>
        <w:spacing w:line="240" w:lineRule="auto"/>
        <w:ind w:firstLine="0"/>
        <w:rPr>
          <w:rFonts w:hint="eastAsia" w:ascii="仿宋" w:hAnsi="仿宋" w:eastAsia="仿宋" w:cs="仿宋"/>
          <w:color w:val="auto"/>
          <w:sz w:val="32"/>
          <w:szCs w:val="32"/>
        </w:rPr>
      </w:pPr>
    </w:p>
    <w:p w14:paraId="1D6668C4">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08CBB15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37CA89F">
      <w:pPr>
        <w:spacing w:after="0" w:line="360" w:lineRule="auto"/>
        <w:rPr>
          <w:rFonts w:hint="eastAsia" w:ascii="黑体" w:hAnsi="黑体" w:eastAsia="黑体" w:cs="黑体"/>
        </w:rPr>
      </w:pPr>
    </w:p>
    <w:p w14:paraId="2F1692E8">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3DD64063">
      <w:pPr>
        <w:pStyle w:val="9"/>
        <w:rPr>
          <w:rFonts w:hint="eastAsia" w:ascii="黑体" w:hAnsi="黑体" w:eastAsia="黑体" w:cs="黑体"/>
          <w:lang w:val="en-US" w:eastAsia="zh-CN"/>
        </w:rPr>
      </w:pPr>
    </w:p>
    <w:p w14:paraId="2A0546C1">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技术参数要求：（实质性要求）</w:t>
      </w:r>
    </w:p>
    <w:tbl>
      <w:tblPr>
        <w:tblStyle w:val="18"/>
        <w:tblpPr w:leftFromText="180" w:rightFromText="180" w:vertAnchor="text" w:horzAnchor="page" w:tblpX="1336" w:tblpY="289"/>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13"/>
        <w:gridCol w:w="7168"/>
        <w:gridCol w:w="480"/>
        <w:gridCol w:w="990"/>
      </w:tblGrid>
      <w:tr w14:paraId="428A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0" w:type="dxa"/>
            <w:tcBorders>
              <w:top w:val="single" w:color="auto" w:sz="4" w:space="0"/>
              <w:left w:val="single" w:color="auto" w:sz="4" w:space="0"/>
              <w:bottom w:val="single" w:color="auto" w:sz="4" w:space="0"/>
              <w:right w:val="single" w:color="auto" w:sz="4" w:space="0"/>
            </w:tcBorders>
            <w:vAlign w:val="center"/>
          </w:tcPr>
          <w:p w14:paraId="45D036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813" w:type="dxa"/>
            <w:tcBorders>
              <w:top w:val="single" w:color="auto" w:sz="4" w:space="0"/>
              <w:left w:val="single" w:color="auto" w:sz="4" w:space="0"/>
              <w:bottom w:val="single" w:color="auto" w:sz="4" w:space="0"/>
              <w:right w:val="single" w:color="auto" w:sz="4" w:space="0"/>
            </w:tcBorders>
            <w:vAlign w:val="center"/>
          </w:tcPr>
          <w:p w14:paraId="24DAB7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7168" w:type="dxa"/>
            <w:tcBorders>
              <w:top w:val="single" w:color="auto" w:sz="4" w:space="0"/>
              <w:left w:val="single" w:color="auto" w:sz="4" w:space="0"/>
              <w:bottom w:val="single" w:color="auto" w:sz="4" w:space="0"/>
              <w:right w:val="single" w:color="auto" w:sz="4" w:space="0"/>
            </w:tcBorders>
            <w:vAlign w:val="center"/>
          </w:tcPr>
          <w:p w14:paraId="7A4E9A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招标技术参数</w:t>
            </w:r>
          </w:p>
        </w:tc>
        <w:tc>
          <w:tcPr>
            <w:tcW w:w="480" w:type="dxa"/>
            <w:tcBorders>
              <w:top w:val="single" w:color="auto" w:sz="4" w:space="0"/>
              <w:left w:val="single" w:color="auto" w:sz="4" w:space="0"/>
              <w:bottom w:val="single" w:color="auto" w:sz="4" w:space="0"/>
              <w:right w:val="single" w:color="auto" w:sz="4" w:space="0"/>
            </w:tcBorders>
            <w:vAlign w:val="center"/>
          </w:tcPr>
          <w:p w14:paraId="561B9B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5F12E3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最高限价（单价：元）</w:t>
            </w:r>
          </w:p>
        </w:tc>
      </w:tr>
      <w:tr w14:paraId="78D9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7" w:hRule="atLeast"/>
        </w:trPr>
        <w:tc>
          <w:tcPr>
            <w:tcW w:w="570" w:type="dxa"/>
            <w:tcBorders>
              <w:top w:val="single" w:color="auto" w:sz="4" w:space="0"/>
              <w:left w:val="single" w:color="auto" w:sz="4" w:space="0"/>
              <w:right w:val="single" w:color="auto" w:sz="4" w:space="0"/>
            </w:tcBorders>
            <w:vAlign w:val="center"/>
          </w:tcPr>
          <w:p w14:paraId="33A6A5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3" w:type="dxa"/>
            <w:tcBorders>
              <w:top w:val="single" w:color="auto" w:sz="4" w:space="0"/>
              <w:left w:val="single" w:color="auto" w:sz="4" w:space="0"/>
              <w:right w:val="single" w:color="auto" w:sz="4" w:space="0"/>
            </w:tcBorders>
            <w:vAlign w:val="center"/>
          </w:tcPr>
          <w:p w14:paraId="2482484F">
            <w:pPr>
              <w:widowControl/>
              <w:spacing w:before="100" w:beforeLines="0" w:beforeAutospacing="1" w:after="100" w:afterLines="0" w:afterAutospacing="1" w:line="240" w:lineRule="exact"/>
              <w:jc w:val="center"/>
              <w:textAlignment w:val="baseline"/>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血糖试纸</w:t>
            </w:r>
          </w:p>
        </w:tc>
        <w:tc>
          <w:tcPr>
            <w:tcW w:w="7168" w:type="dxa"/>
            <w:tcBorders>
              <w:top w:val="single" w:color="auto" w:sz="4" w:space="0"/>
              <w:left w:val="single" w:color="auto" w:sz="4" w:space="0"/>
              <w:bottom w:val="single" w:color="auto" w:sz="4" w:space="0"/>
              <w:right w:val="single" w:color="auto" w:sz="4" w:space="0"/>
            </w:tcBorders>
            <w:vAlign w:val="center"/>
          </w:tcPr>
          <w:p w14:paraId="795B8E1D">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方法学：</w:t>
            </w:r>
            <w:r>
              <w:rPr>
                <w:rFonts w:hint="eastAsia" w:ascii="宋体" w:hAnsi="宋体" w:eastAsia="宋体" w:cs="宋体"/>
                <w:kern w:val="0"/>
                <w:sz w:val="24"/>
                <w:szCs w:val="24"/>
              </w:rPr>
              <w:t>葡萄糖脱氢酶法</w:t>
            </w:r>
          </w:p>
          <w:p w14:paraId="5BE96A0E">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测试血样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至少包含新鲜毛细血管全血血样和静脉全血血样</w:t>
            </w:r>
            <w:r>
              <w:rPr>
                <w:rFonts w:hint="eastAsia" w:ascii="宋体" w:hAnsi="宋体" w:eastAsia="宋体" w:cs="宋体"/>
                <w:kern w:val="0"/>
                <w:sz w:val="24"/>
                <w:szCs w:val="24"/>
                <w:lang w:eastAsia="zh-CN"/>
              </w:rPr>
              <w:t>；</w:t>
            </w:r>
          </w:p>
          <w:p w14:paraId="557C1002">
            <w:pPr>
              <w:spacing w:line="360" w:lineRule="auto"/>
              <w:rPr>
                <w:rFonts w:hint="eastAsia" w:ascii="宋体" w:hAnsi="宋体" w:eastAsia="宋体" w:cs="宋体"/>
                <w:kern w:val="0"/>
                <w:sz w:val="24"/>
                <w:szCs w:val="24"/>
                <w:lang w:eastAsia="zh-CN"/>
              </w:rPr>
            </w:pPr>
            <w:r>
              <w:rPr>
                <w:rFonts w:hint="eastAsia" w:ascii="宋体" w:hAnsi="宋体" w:eastAsia="宋体" w:cs="宋体"/>
                <w:b/>
                <w:bCs/>
                <w:color w:val="000000"/>
                <w:kern w:val="0"/>
                <w:sz w:val="24"/>
                <w:szCs w:val="24"/>
              </w:rPr>
              <w:t>★</w:t>
            </w:r>
            <w:r>
              <w:rPr>
                <w:rFonts w:hint="eastAsia" w:ascii="宋体" w:hAnsi="宋体" w:eastAsia="宋体" w:cs="宋体"/>
                <w:b/>
                <w:bCs/>
                <w:kern w:val="0"/>
                <w:sz w:val="24"/>
                <w:szCs w:val="24"/>
              </w:rPr>
              <w:t>3.样本量</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满足一次测试所需样本体积≤</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uL</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rPr>
              <w:t>（附试纸说明书）</w:t>
            </w:r>
            <w:r>
              <w:rPr>
                <w:rFonts w:hint="eastAsia" w:ascii="宋体" w:hAnsi="宋体" w:eastAsia="宋体" w:cs="宋体"/>
                <w:kern w:val="0"/>
                <w:sz w:val="24"/>
                <w:szCs w:val="24"/>
                <w:lang w:eastAsia="zh-CN"/>
              </w:rPr>
              <w:t>；</w:t>
            </w:r>
          </w:p>
          <w:p w14:paraId="2DFAD4DC">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rPr>
              <w:t>★</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 测试时间：≤5秒</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附证明材料）</w:t>
            </w:r>
            <w:r>
              <w:rPr>
                <w:rFonts w:hint="eastAsia" w:ascii="宋体" w:hAnsi="宋体" w:eastAsia="宋体" w:cs="宋体"/>
                <w:b/>
                <w:bCs/>
                <w:kern w:val="0"/>
                <w:sz w:val="24"/>
                <w:szCs w:val="24"/>
                <w:lang w:eastAsia="zh-CN"/>
              </w:rPr>
              <w:t>；</w:t>
            </w:r>
          </w:p>
          <w:p w14:paraId="0A9A8F28">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rPr>
              <w:t>★</w:t>
            </w: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.试纸有效期:未开瓶有效期≥18个月,开瓶后有效期为</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kern w:val="0"/>
                <w:sz w:val="24"/>
                <w:szCs w:val="24"/>
              </w:rPr>
              <w:t>个月</w:t>
            </w:r>
            <w:r>
              <w:rPr>
                <w:rFonts w:hint="eastAsia" w:ascii="宋体" w:hAnsi="宋体" w:eastAsia="宋体" w:cs="宋体"/>
                <w:b/>
                <w:bCs/>
                <w:kern w:val="0"/>
                <w:sz w:val="24"/>
                <w:szCs w:val="24"/>
                <w:lang w:val="en-US" w:eastAsia="zh-CN"/>
              </w:rPr>
              <w:t>以上</w:t>
            </w:r>
            <w:r>
              <w:rPr>
                <w:rFonts w:hint="eastAsia" w:ascii="宋体" w:hAnsi="宋体" w:eastAsia="宋体" w:cs="宋体"/>
                <w:b/>
                <w:bCs/>
                <w:kern w:val="0"/>
                <w:sz w:val="24"/>
                <w:szCs w:val="24"/>
              </w:rPr>
              <w:t>（附试纸说明书）</w:t>
            </w:r>
            <w:r>
              <w:rPr>
                <w:rFonts w:hint="eastAsia" w:ascii="宋体" w:hAnsi="宋体" w:eastAsia="宋体" w:cs="宋体"/>
                <w:b/>
                <w:bCs/>
                <w:kern w:val="0"/>
                <w:sz w:val="24"/>
                <w:szCs w:val="24"/>
                <w:lang w:eastAsia="zh-CN"/>
              </w:rPr>
              <w:t>；</w:t>
            </w:r>
          </w:p>
          <w:p w14:paraId="2950C463">
            <w:p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kern w:val="0"/>
                <w:sz w:val="24"/>
                <w:szCs w:val="24"/>
                <w:highlight w:val="none"/>
              </w:rPr>
              <w:t>测量范围至少满足：</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—33.3mmol/L</w:t>
            </w:r>
            <w:r>
              <w:rPr>
                <w:rFonts w:hint="eastAsia" w:ascii="宋体" w:hAnsi="宋体" w:eastAsia="宋体" w:cs="宋体"/>
                <w:kern w:val="0"/>
                <w:sz w:val="24"/>
                <w:szCs w:val="24"/>
                <w:highlight w:val="none"/>
                <w:lang w:eastAsia="zh-CN"/>
              </w:rPr>
              <w:t>；</w:t>
            </w:r>
          </w:p>
          <w:p w14:paraId="791D095C">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.红细胞压积范围至少满足：20—60%</w:t>
            </w:r>
            <w:r>
              <w:rPr>
                <w:rFonts w:hint="eastAsia" w:ascii="宋体" w:hAnsi="宋体" w:eastAsia="宋体" w:cs="宋体"/>
                <w:kern w:val="0"/>
                <w:sz w:val="24"/>
                <w:szCs w:val="24"/>
                <w:lang w:eastAsia="zh-CN"/>
              </w:rPr>
              <w:t>；</w:t>
            </w:r>
          </w:p>
          <w:p w14:paraId="2FFB73A2">
            <w:pPr>
              <w:spacing w:line="360" w:lineRule="auto"/>
              <w:rPr>
                <w:rFonts w:hint="eastAsia" w:ascii="宋体" w:hAnsi="宋体" w:eastAsia="宋体" w:cs="宋体"/>
                <w:b/>
                <w:bCs/>
                <w:sz w:val="24"/>
                <w:szCs w:val="24"/>
                <w:lang w:eastAsia="zh-CN"/>
              </w:rPr>
            </w:pPr>
            <w:r>
              <w:rPr>
                <w:rFonts w:hint="eastAsia" w:ascii="宋体" w:hAnsi="宋体" w:eastAsia="宋体" w:cs="宋体"/>
                <w:b/>
                <w:bCs/>
                <w:color w:val="000000"/>
                <w:kern w:val="0"/>
                <w:sz w:val="24"/>
                <w:szCs w:val="24"/>
              </w:rPr>
              <w:t>★</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.血糖试纸必须为网采平台限价内的产品，提供网采截图和流水号</w:t>
            </w:r>
            <w:r>
              <w:rPr>
                <w:rFonts w:hint="eastAsia" w:ascii="宋体" w:hAnsi="宋体" w:eastAsia="宋体" w:cs="宋体"/>
                <w:b/>
                <w:bCs/>
                <w:sz w:val="24"/>
                <w:szCs w:val="24"/>
                <w:lang w:eastAsia="zh-CN"/>
              </w:rPr>
              <w:t>；</w:t>
            </w:r>
          </w:p>
          <w:p w14:paraId="755660C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一键退纸功能</w:t>
            </w:r>
            <w:r>
              <w:rPr>
                <w:rFonts w:hint="eastAsia" w:ascii="宋体" w:hAnsi="宋体" w:eastAsia="宋体" w:cs="宋体"/>
                <w:sz w:val="24"/>
                <w:szCs w:val="24"/>
                <w:lang w:eastAsia="zh-CN"/>
              </w:rPr>
              <w:t>：</w:t>
            </w:r>
            <w:r>
              <w:rPr>
                <w:rFonts w:hint="eastAsia" w:ascii="宋体" w:hAnsi="宋体" w:eastAsia="宋体" w:cs="宋体"/>
                <w:sz w:val="24"/>
                <w:szCs w:val="24"/>
              </w:rPr>
              <w:t>有</w:t>
            </w:r>
            <w:r>
              <w:rPr>
                <w:rFonts w:hint="eastAsia" w:ascii="宋体" w:hAnsi="宋体" w:eastAsia="宋体" w:cs="宋体"/>
                <w:sz w:val="24"/>
                <w:szCs w:val="24"/>
                <w:lang w:eastAsia="zh-CN"/>
              </w:rPr>
              <w:t>；</w:t>
            </w:r>
          </w:p>
          <w:p w14:paraId="60AF6728">
            <w:pPr>
              <w:numPr>
                <w:ilvl w:val="0"/>
                <w:numId w:val="3"/>
              </w:numPr>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配套血糖仪屏幕可显示色彩范围指示条,警示异常的血糖值</w:t>
            </w:r>
            <w:r>
              <w:rPr>
                <w:rFonts w:hint="eastAsia" w:ascii="宋体" w:hAnsi="宋体" w:eastAsia="宋体" w:cs="宋体"/>
                <w:sz w:val="24"/>
                <w:szCs w:val="24"/>
                <w:lang w:eastAsia="zh-CN"/>
              </w:rPr>
              <w:t>；</w:t>
            </w:r>
          </w:p>
          <w:p w14:paraId="7B906BBC">
            <w:pPr>
              <w:numPr>
                <w:ilvl w:val="0"/>
                <w:numId w:val="3"/>
              </w:num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 ISO 15197:2013 标准</w:t>
            </w:r>
            <w:r>
              <w:rPr>
                <w:rFonts w:hint="eastAsia" w:ascii="宋体" w:hAnsi="宋体" w:eastAsia="宋体" w:cs="宋体"/>
                <w:kern w:val="0"/>
                <w:sz w:val="24"/>
                <w:szCs w:val="24"/>
                <w:lang w:eastAsia="zh-CN"/>
              </w:rPr>
              <w:t>；</w:t>
            </w:r>
          </w:p>
          <w:p w14:paraId="5267EEE3">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.质控方式:标准质控品≥2种,自动记录质控数据</w:t>
            </w:r>
            <w:r>
              <w:rPr>
                <w:rFonts w:hint="eastAsia" w:ascii="宋体" w:hAnsi="宋体" w:eastAsia="宋体" w:cs="宋体"/>
                <w:kern w:val="0"/>
                <w:sz w:val="24"/>
                <w:szCs w:val="24"/>
                <w:lang w:eastAsia="zh-CN"/>
              </w:rPr>
              <w:t>；</w:t>
            </w:r>
            <w:bookmarkStart w:id="16" w:name="_GoBack"/>
            <w:bookmarkEnd w:id="16"/>
          </w:p>
          <w:p w14:paraId="6657E179">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13.提供</w:t>
            </w:r>
            <w:r>
              <w:rPr>
                <w:rFonts w:hint="eastAsia" w:ascii="宋体" w:hAnsi="宋体" w:eastAsia="宋体" w:cs="宋体"/>
                <w:b/>
                <w:bCs/>
                <w:kern w:val="0"/>
                <w:sz w:val="24"/>
                <w:szCs w:val="24"/>
              </w:rPr>
              <w:t>血糖试纸、血糖仪为同一品牌,保障网络信息安全（需提供血糖试纸和血糖仪的产品注册证, 血糖管理系统的计算机软件著作权登记证书</w:t>
            </w:r>
            <w:r>
              <w:rPr>
                <w:rFonts w:hint="eastAsia" w:ascii="宋体" w:hAnsi="宋体" w:eastAsia="宋体" w:cs="宋体"/>
                <w:b/>
                <w:bCs/>
                <w:color w:val="auto"/>
                <w:kern w:val="0"/>
                <w:sz w:val="24"/>
                <w:szCs w:val="24"/>
                <w:lang w:eastAsia="zh-CN"/>
              </w:rPr>
              <w:t>，且</w:t>
            </w:r>
            <w:r>
              <w:rPr>
                <w:rFonts w:hint="eastAsia" w:ascii="宋体" w:hAnsi="宋体" w:eastAsia="宋体" w:cs="宋体"/>
                <w:b/>
                <w:bCs/>
                <w:color w:val="auto"/>
                <w:kern w:val="0"/>
                <w:sz w:val="24"/>
                <w:szCs w:val="24"/>
                <w:lang w:val="en-US" w:eastAsia="zh-CN"/>
              </w:rPr>
              <w:t>血糖</w:t>
            </w:r>
            <w:r>
              <w:rPr>
                <w:rFonts w:hint="eastAsia" w:ascii="宋体" w:hAnsi="宋体" w:eastAsia="宋体" w:cs="宋体"/>
                <w:b/>
                <w:bCs/>
                <w:kern w:val="0"/>
                <w:sz w:val="24"/>
                <w:szCs w:val="24"/>
              </w:rPr>
              <w:t>仪</w:t>
            </w:r>
            <w:r>
              <w:rPr>
                <w:rFonts w:hint="eastAsia" w:ascii="宋体" w:hAnsi="宋体" w:eastAsia="宋体" w:cs="宋体"/>
                <w:b/>
                <w:bCs/>
                <w:color w:val="auto"/>
                <w:kern w:val="0"/>
                <w:sz w:val="24"/>
                <w:szCs w:val="24"/>
                <w:lang w:eastAsia="zh-CN"/>
              </w:rPr>
              <w:t>、管理系统和试纸为同一公司生产研发</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w:t>
            </w:r>
          </w:p>
          <w:p w14:paraId="1A0A1ED4">
            <w:pPr>
              <w:spacing w:line="360" w:lineRule="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lang w:val="en-US" w:eastAsia="zh-CN"/>
              </w:rPr>
              <w:t>14</w:t>
            </w:r>
            <w:r>
              <w:rPr>
                <w:rFonts w:hint="eastAsia" w:ascii="宋体" w:hAnsi="宋体" w:eastAsia="宋体" w:cs="宋体"/>
                <w:b/>
                <w:bCs/>
                <w:kern w:val="0"/>
                <w:sz w:val="24"/>
                <w:szCs w:val="24"/>
              </w:rPr>
              <w:t>.血糖管理系统需支持以下功能</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①</w:t>
            </w:r>
            <w:r>
              <w:rPr>
                <w:rFonts w:hint="eastAsia" w:ascii="宋体" w:hAnsi="宋体" w:eastAsia="宋体" w:cs="宋体"/>
                <w:b/>
                <w:bCs/>
                <w:kern w:val="0"/>
                <w:sz w:val="24"/>
                <w:szCs w:val="24"/>
                <w:lang w:val="en-US" w:eastAsia="zh-CN"/>
              </w:rPr>
              <w:t>提供</w:t>
            </w:r>
            <w:r>
              <w:rPr>
                <w:rFonts w:hint="eastAsia" w:ascii="宋体" w:hAnsi="宋体" w:eastAsia="宋体" w:cs="宋体"/>
                <w:b/>
                <w:bCs/>
                <w:kern w:val="0"/>
                <w:sz w:val="24"/>
                <w:szCs w:val="24"/>
              </w:rPr>
              <w:t>血糖管理系统与医院信息系统（HIS）以及实验室信息系统（LIS）相连接，实现血糖数据实时上传②可以提供全院血糖管理报告（附证明材料）</w:t>
            </w:r>
            <w:r>
              <w:rPr>
                <w:rFonts w:hint="eastAsia" w:ascii="宋体" w:hAnsi="宋体" w:eastAsia="宋体" w:cs="宋体"/>
                <w:b/>
                <w:bCs/>
                <w:kern w:val="0"/>
                <w:sz w:val="24"/>
                <w:szCs w:val="24"/>
                <w:highlight w:val="none"/>
                <w:lang w:val="en-US" w:eastAsia="zh-CN" w:bidi="ar-SA"/>
              </w:rPr>
              <w:t>。</w:t>
            </w:r>
          </w:p>
          <w:p w14:paraId="78FA95A8">
            <w:pPr>
              <w:spacing w:line="360" w:lineRule="auto"/>
              <w:rPr>
                <w:rFonts w:hint="default" w:ascii="宋体" w:hAnsi="宋体" w:eastAsia="宋体" w:cs="宋体"/>
                <w:b/>
                <w:bCs/>
                <w:kern w:val="0"/>
                <w:sz w:val="24"/>
                <w:szCs w:val="24"/>
                <w:highlight w:val="none"/>
                <w:lang w:val="en-US" w:eastAsia="zh-CN" w:bidi="ar-SA"/>
              </w:rPr>
            </w:pPr>
          </w:p>
          <w:p w14:paraId="101CD1A1">
            <w:pPr>
              <w:spacing w:line="360" w:lineRule="auto"/>
              <w:rPr>
                <w:rFonts w:hint="default" w:ascii="宋体" w:hAnsi="宋体" w:eastAsia="宋体" w:cs="宋体"/>
                <w:b/>
                <w:bCs/>
                <w:kern w:val="0"/>
                <w:sz w:val="24"/>
                <w:szCs w:val="24"/>
                <w:highlight w:val="none"/>
                <w:lang w:val="en-US" w:eastAsia="zh-CN" w:bidi="ar-SA"/>
              </w:rPr>
            </w:pPr>
          </w:p>
        </w:tc>
        <w:tc>
          <w:tcPr>
            <w:tcW w:w="480" w:type="dxa"/>
            <w:tcBorders>
              <w:top w:val="single" w:color="auto" w:sz="4" w:space="0"/>
              <w:left w:val="single" w:color="auto" w:sz="4" w:space="0"/>
              <w:right w:val="single" w:color="auto" w:sz="4" w:space="0"/>
            </w:tcBorders>
            <w:vAlign w:val="center"/>
          </w:tcPr>
          <w:p w14:paraId="7C346F46">
            <w:pPr>
              <w:widowControl/>
              <w:spacing w:beforeLines="0" w:afterLines="0" w:line="240" w:lineRule="atLeas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张</w:t>
            </w:r>
          </w:p>
        </w:tc>
        <w:tc>
          <w:tcPr>
            <w:tcW w:w="990" w:type="dxa"/>
            <w:tcBorders>
              <w:top w:val="single" w:color="auto" w:sz="4" w:space="0"/>
              <w:left w:val="single" w:color="auto" w:sz="4" w:space="0"/>
              <w:right w:val="single" w:color="auto" w:sz="4" w:space="0"/>
            </w:tcBorders>
            <w:vAlign w:val="center"/>
          </w:tcPr>
          <w:p w14:paraId="55D1D24F">
            <w:pPr>
              <w:spacing w:beforeLines="0" w:afterLines="0" w:line="240" w:lineRule="exact"/>
              <w:jc w:val="center"/>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bl>
    <w:p w14:paraId="6D620E1E">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p>
    <w:p w14:paraId="7E264E22">
      <w:pPr>
        <w:pStyle w:val="17"/>
        <w:numPr>
          <w:ilvl w:val="0"/>
          <w:numId w:val="0"/>
        </w:numPr>
        <w:spacing w:line="240" w:lineRule="auto"/>
        <w:rPr>
          <w:rFonts w:hint="eastAsia" w:ascii="仿宋" w:hAnsi="仿宋" w:eastAsia="仿宋" w:cs="仿宋"/>
          <w:sz w:val="32"/>
          <w:szCs w:val="32"/>
          <w:lang w:val="en-US" w:eastAsia="zh-CN"/>
        </w:rPr>
      </w:pPr>
    </w:p>
    <w:p w14:paraId="62659B50">
      <w:pPr>
        <w:pStyle w:val="17"/>
        <w:numPr>
          <w:ilvl w:val="0"/>
          <w:numId w:val="0"/>
        </w:numPr>
        <w:spacing w:line="240" w:lineRule="auto"/>
        <w:rPr>
          <w:rFonts w:hint="eastAsia" w:ascii="仿宋" w:hAnsi="仿宋" w:eastAsia="仿宋" w:cs="仿宋"/>
          <w:sz w:val="32"/>
          <w:szCs w:val="32"/>
          <w:lang w:val="en-US" w:eastAsia="zh-CN"/>
        </w:rPr>
      </w:pPr>
    </w:p>
    <w:p w14:paraId="547C4EAB">
      <w:pPr>
        <w:pStyle w:val="17"/>
        <w:numPr>
          <w:ilvl w:val="0"/>
          <w:numId w:val="0"/>
        </w:numPr>
        <w:spacing w:line="240" w:lineRule="auto"/>
        <w:rPr>
          <w:rFonts w:hint="eastAsia" w:ascii="仿宋" w:hAnsi="仿宋" w:eastAsia="仿宋" w:cs="仿宋"/>
          <w:sz w:val="32"/>
          <w:szCs w:val="32"/>
          <w:lang w:val="en-US" w:eastAsia="zh-CN"/>
        </w:rPr>
      </w:pPr>
    </w:p>
    <w:p w14:paraId="6A57D31F">
      <w:pPr>
        <w:pStyle w:val="17"/>
        <w:numPr>
          <w:ilvl w:val="0"/>
          <w:numId w:val="0"/>
        </w:numPr>
        <w:spacing w:line="240" w:lineRule="auto"/>
        <w:rPr>
          <w:rFonts w:hint="eastAsia" w:ascii="仿宋" w:hAnsi="仿宋" w:eastAsia="仿宋" w:cs="仿宋"/>
          <w:sz w:val="32"/>
          <w:szCs w:val="32"/>
          <w:lang w:val="en-US" w:eastAsia="zh-CN"/>
        </w:rPr>
      </w:pPr>
    </w:p>
    <w:p w14:paraId="74A57BB5">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47CC3A40">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14:paraId="59C91F95">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42FA5A72">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付款方式：甲方验收并收到发票以后，250个工作日内支付货款。</w:t>
      </w:r>
    </w:p>
    <w:p w14:paraId="6BAB8173">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质量要求：供应商提供的医疗器械须符合《医疗器械注册管理办法》要求。</w:t>
      </w:r>
    </w:p>
    <w:p w14:paraId="45E8021A">
      <w:pPr>
        <w:pStyle w:val="17"/>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pStyle w:val="17"/>
        <w:numPr>
          <w:ilvl w:val="0"/>
          <w:numId w:val="0"/>
        </w:numPr>
        <w:spacing w:line="240" w:lineRule="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6、中标供应商签订采购合同前需提供</w:t>
      </w:r>
      <w:r>
        <w:rPr>
          <w:rFonts w:hint="eastAsia" w:ascii="仿宋_GB2312" w:hAnsi="仿宋_GB2312" w:eastAsia="仿宋_GB2312" w:cs="仿宋_GB2312"/>
          <w:color w:val="auto"/>
          <w:sz w:val="30"/>
          <w:szCs w:val="30"/>
        </w:rPr>
        <w:t>相关耗材生产厂家授权销售资料</w:t>
      </w:r>
      <w:r>
        <w:rPr>
          <w:rFonts w:hint="eastAsia" w:ascii="仿宋_GB2312" w:hAnsi="仿宋_GB2312" w:eastAsia="仿宋_GB2312" w:cs="仿宋_GB2312"/>
          <w:color w:val="auto"/>
          <w:sz w:val="30"/>
          <w:szCs w:val="30"/>
          <w:lang w:eastAsia="zh-CN"/>
        </w:rPr>
        <w:t>。</w:t>
      </w:r>
    </w:p>
    <w:p w14:paraId="4D643E8D">
      <w:pPr>
        <w:widowControl/>
        <w:spacing w:after="200" w:line="360" w:lineRule="auto"/>
        <w:ind w:firstLine="0" w:firstLineChars="0"/>
        <w:contextualSpacing/>
        <w:jc w:val="left"/>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kern w:val="2"/>
          <w:sz w:val="30"/>
          <w:szCs w:val="30"/>
          <w:lang w:val="en-US" w:eastAsia="zh-CN" w:bidi="ar-SA"/>
        </w:rPr>
        <w:t>做好血糖仪检测质量保证，厂家每月进行全院科室血糖仪室内质控,提供科室所需质控手册并登记。</w:t>
      </w:r>
    </w:p>
    <w:p w14:paraId="39B93AFC">
      <w:pPr>
        <w:widowControl/>
        <w:spacing w:after="200" w:line="360" w:lineRule="auto"/>
        <w:ind w:firstLine="0" w:firstLineChars="0"/>
        <w:contextualSpacing/>
        <w:jc w:val="left"/>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kern w:val="2"/>
          <w:sz w:val="30"/>
          <w:szCs w:val="30"/>
          <w:lang w:val="en-US" w:eastAsia="zh-CN" w:bidi="ar-SA"/>
        </w:rPr>
        <w:t>投标人应考虑供应期内采购人需求情况，提供配套使用的采血针、质控液以及后期配套的服务，投标人报价需考虑此项费用。（提供承诺函，格式自拟）。</w:t>
      </w:r>
    </w:p>
    <w:p w14:paraId="22957ECA">
      <w:pPr>
        <w:pStyle w:val="9"/>
        <w:rPr>
          <w:rFonts w:hint="eastAsia" w:ascii="黑体" w:hAnsi="黑体" w:eastAsia="黑体" w:cs="黑体"/>
          <w:sz w:val="32"/>
          <w:szCs w:val="40"/>
          <w:lang w:eastAsia="zh-CN"/>
        </w:rPr>
      </w:pPr>
    </w:p>
    <w:p w14:paraId="2073120C">
      <w:pPr>
        <w:pStyle w:val="9"/>
        <w:rPr>
          <w:rFonts w:hint="eastAsia" w:ascii="黑体" w:hAnsi="黑体" w:eastAsia="黑体" w:cs="黑体"/>
          <w:sz w:val="32"/>
          <w:szCs w:val="40"/>
          <w:lang w:eastAsia="zh-CN"/>
        </w:rPr>
      </w:pPr>
    </w:p>
    <w:p w14:paraId="2A126174">
      <w:pPr>
        <w:pStyle w:val="9"/>
        <w:rPr>
          <w:rFonts w:hint="eastAsia" w:ascii="黑体" w:hAnsi="黑体" w:eastAsia="黑体" w:cs="黑体"/>
          <w:sz w:val="32"/>
          <w:szCs w:val="40"/>
          <w:lang w:eastAsia="zh-CN"/>
        </w:rPr>
      </w:pPr>
    </w:p>
    <w:p w14:paraId="4B22CECF">
      <w:pPr>
        <w:pStyle w:val="9"/>
        <w:rPr>
          <w:rFonts w:hint="eastAsia" w:ascii="黑体" w:hAnsi="黑体" w:eastAsia="黑体" w:cs="黑体"/>
          <w:sz w:val="32"/>
          <w:szCs w:val="40"/>
          <w:lang w:eastAsia="zh-CN"/>
        </w:rPr>
      </w:pPr>
    </w:p>
    <w:p w14:paraId="730FAD88">
      <w:pPr>
        <w:pStyle w:val="9"/>
        <w:rPr>
          <w:rFonts w:hint="eastAsia" w:ascii="黑体" w:hAnsi="黑体" w:eastAsia="黑体" w:cs="黑体"/>
          <w:sz w:val="32"/>
          <w:szCs w:val="40"/>
          <w:lang w:eastAsia="zh-CN"/>
        </w:rPr>
      </w:pPr>
    </w:p>
    <w:p w14:paraId="056EDB23">
      <w:pPr>
        <w:pStyle w:val="9"/>
        <w:rPr>
          <w:rFonts w:hint="eastAsia" w:ascii="黑体" w:hAnsi="黑体" w:eastAsia="黑体" w:cs="黑体"/>
          <w:sz w:val="32"/>
          <w:szCs w:val="40"/>
          <w:lang w:eastAsia="zh-CN"/>
        </w:rPr>
      </w:pPr>
    </w:p>
    <w:p w14:paraId="77284DCD">
      <w:pPr>
        <w:pStyle w:val="9"/>
        <w:rPr>
          <w:rFonts w:hint="eastAsia" w:ascii="黑体" w:hAnsi="黑体" w:eastAsia="黑体" w:cs="黑体"/>
          <w:sz w:val="32"/>
          <w:szCs w:val="40"/>
          <w:lang w:eastAsia="zh-CN"/>
        </w:rPr>
      </w:pPr>
    </w:p>
    <w:p w14:paraId="60016121">
      <w:pPr>
        <w:pStyle w:val="9"/>
        <w:rPr>
          <w:rFonts w:hint="eastAsia" w:ascii="黑体" w:hAnsi="黑体" w:eastAsia="黑体" w:cs="黑体"/>
          <w:sz w:val="32"/>
          <w:szCs w:val="40"/>
          <w:lang w:eastAsia="zh-CN"/>
        </w:rPr>
      </w:pPr>
    </w:p>
    <w:p w14:paraId="1A3DBA8E">
      <w:pPr>
        <w:pStyle w:val="9"/>
        <w:rPr>
          <w:rFonts w:hint="eastAsia" w:ascii="黑体" w:hAnsi="黑体" w:eastAsia="黑体" w:cs="黑体"/>
          <w:sz w:val="32"/>
          <w:szCs w:val="40"/>
          <w:lang w:eastAsia="zh-CN"/>
        </w:rPr>
      </w:pPr>
    </w:p>
    <w:p w14:paraId="74BF4FB1">
      <w:pPr>
        <w:pStyle w:val="9"/>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8"/>
        <w:tblpPr w:leftFromText="180" w:rightFromText="180" w:vertAnchor="text" w:horzAnchor="page" w:tblpX="1402" w:tblpY="607"/>
        <w:tblOverlap w:val="never"/>
        <w:tblW w:w="9958" w:type="dxa"/>
        <w:tblInd w:w="0" w:type="dxa"/>
        <w:tblLayout w:type="fixed"/>
        <w:tblCellMar>
          <w:top w:w="0" w:type="dxa"/>
          <w:left w:w="108" w:type="dxa"/>
          <w:bottom w:w="0" w:type="dxa"/>
          <w:right w:w="108" w:type="dxa"/>
        </w:tblCellMar>
      </w:tblPr>
      <w:tblGrid>
        <w:gridCol w:w="579"/>
        <w:gridCol w:w="1023"/>
        <w:gridCol w:w="860"/>
        <w:gridCol w:w="6510"/>
        <w:gridCol w:w="986"/>
      </w:tblGrid>
      <w:tr w14:paraId="5F2270FF">
        <w:tblPrEx>
          <w:tblCellMar>
            <w:top w:w="0" w:type="dxa"/>
            <w:left w:w="108" w:type="dxa"/>
            <w:bottom w:w="0" w:type="dxa"/>
            <w:right w:w="108" w:type="dxa"/>
          </w:tblCellMar>
        </w:tblPrEx>
        <w:trPr>
          <w:cantSplit/>
          <w:trHeight w:val="821"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5996366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68BCB6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2F62A91B">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5BB84B97">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26F2C2A">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3787EA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274CDC5F">
        <w:tblPrEx>
          <w:tblCellMar>
            <w:top w:w="0" w:type="dxa"/>
            <w:left w:w="108" w:type="dxa"/>
            <w:bottom w:w="0" w:type="dxa"/>
            <w:right w:w="108" w:type="dxa"/>
          </w:tblCellMar>
        </w:tblPrEx>
        <w:trPr>
          <w:trHeight w:val="1226"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2469B5C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7951A58">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1A38D91A">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304564B8">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满足招标文件要求且投标价格最低的投标报价为评标基准价，其价格分为满分。其他供应商的价格分统一按照下列公式计算：投标报价得分=(评标基准价÷投标报价)×40%×100；（最低价基准法）</w:t>
            </w:r>
          </w:p>
          <w:p w14:paraId="0A041193">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50FC8B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07591FDB">
        <w:tblPrEx>
          <w:tblCellMar>
            <w:top w:w="0" w:type="dxa"/>
            <w:left w:w="108" w:type="dxa"/>
            <w:bottom w:w="0" w:type="dxa"/>
            <w:right w:w="108" w:type="dxa"/>
          </w:tblCellMar>
        </w:tblPrEx>
        <w:trPr>
          <w:trHeight w:val="10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82A">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78CE">
            <w:pPr>
              <w:spacing w:line="320" w:lineRule="atLeast"/>
              <w:jc w:val="center"/>
              <w:rPr>
                <w:rFonts w:hint="eastAsia" w:ascii="仿宋" w:hAnsi="仿宋" w:eastAsia="仿宋" w:cs="仿宋"/>
                <w:sz w:val="32"/>
                <w:szCs w:val="32"/>
              </w:rPr>
            </w:pPr>
          </w:p>
          <w:p w14:paraId="061B6912">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样品质量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0B4">
            <w:pPr>
              <w:rPr>
                <w:rFonts w:hint="eastAsia" w:ascii="仿宋" w:hAnsi="仿宋" w:eastAsia="仿宋" w:cs="仿宋"/>
                <w:kern w:val="2"/>
                <w:sz w:val="32"/>
                <w:szCs w:val="32"/>
                <w:lang w:val="en-US" w:eastAsia="zh-CN" w:bidi="ar-SA"/>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70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供应商提供的样品根据以下标准进行评审：1.产品性能2.业内口碑3.工艺制作精良4.包装完好5.样品试用结果进行评价（报名时需提供血糖试纸100张和血糖仪2台，采购活动完成后进行寄回血糖仪），完全满足要求得满分40分，每项略有不足扣4分，完全不满足扣 8分，样品未按照文件要求提供样品此项不得分。</w:t>
            </w:r>
          </w:p>
          <w:p w14:paraId="7CD4BE72">
            <w:pPr>
              <w:rPr>
                <w:rFonts w:hint="eastAsia" w:ascii="仿宋" w:hAnsi="仿宋" w:eastAsia="仿宋" w:cs="仿宋"/>
                <w:kern w:val="2"/>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114F">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r w14:paraId="1643864B">
        <w:tblPrEx>
          <w:tblCellMar>
            <w:top w:w="0" w:type="dxa"/>
            <w:left w:w="108" w:type="dxa"/>
            <w:bottom w:w="0" w:type="dxa"/>
            <w:right w:w="108" w:type="dxa"/>
          </w:tblCellMar>
        </w:tblPrEx>
        <w:trPr>
          <w:trHeight w:val="10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B1FC">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DDF6">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4F33">
            <w:pP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A7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每项完整且合理得5分。</w:t>
            </w:r>
          </w:p>
          <w:p w14:paraId="298A37F3">
            <w:pPr>
              <w:rPr>
                <w:rFonts w:hint="eastAsia" w:ascii="仿宋" w:hAnsi="仿宋" w:eastAsia="仿宋" w:cs="仿宋"/>
                <w:kern w:val="1"/>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27C4">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bl>
    <w:p w14:paraId="1A5AC06D">
      <w:pPr>
        <w:rPr>
          <w:rFonts w:hint="eastAsia" w:ascii="黑体" w:hAnsi="黑体" w:eastAsia="黑体" w:cs="黑体"/>
          <w:lang w:eastAsia="zh-CN"/>
        </w:rPr>
      </w:pPr>
    </w:p>
    <w:p w14:paraId="6267340B">
      <w:pPr>
        <w:pStyle w:val="3"/>
        <w:rPr>
          <w:rFonts w:hint="eastAsia" w:ascii="黑体" w:hAnsi="黑体" w:eastAsia="黑体" w:cs="黑体"/>
          <w:lang w:eastAsia="zh-CN"/>
        </w:rPr>
      </w:pPr>
    </w:p>
    <w:p w14:paraId="380FC1B4">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3C9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50F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850F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9D00">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AE7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86AE7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C9B8">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B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E8690199"/>
    <w:multiLevelType w:val="singleLevel"/>
    <w:tmpl w:val="E8690199"/>
    <w:lvl w:ilvl="0" w:tentative="0">
      <w:start w:val="10"/>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2F6701C"/>
    <w:rsid w:val="038264FB"/>
    <w:rsid w:val="03E45948"/>
    <w:rsid w:val="03EB6F22"/>
    <w:rsid w:val="047A7398"/>
    <w:rsid w:val="04976AF6"/>
    <w:rsid w:val="05813897"/>
    <w:rsid w:val="05B93485"/>
    <w:rsid w:val="05DD44EC"/>
    <w:rsid w:val="05FA4A68"/>
    <w:rsid w:val="06C83EF1"/>
    <w:rsid w:val="076A42FA"/>
    <w:rsid w:val="07954271"/>
    <w:rsid w:val="07E32607"/>
    <w:rsid w:val="083F7233"/>
    <w:rsid w:val="08570094"/>
    <w:rsid w:val="0892424A"/>
    <w:rsid w:val="08A100E8"/>
    <w:rsid w:val="08D706EB"/>
    <w:rsid w:val="08DB4870"/>
    <w:rsid w:val="09281C73"/>
    <w:rsid w:val="092B0852"/>
    <w:rsid w:val="0A5766D2"/>
    <w:rsid w:val="0B4B5BCA"/>
    <w:rsid w:val="0B5B6EA7"/>
    <w:rsid w:val="0B9B184D"/>
    <w:rsid w:val="0BBF2600"/>
    <w:rsid w:val="0BD81C2A"/>
    <w:rsid w:val="0C3E61B9"/>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42A2C97"/>
    <w:rsid w:val="15246309"/>
    <w:rsid w:val="159705C2"/>
    <w:rsid w:val="182F44F3"/>
    <w:rsid w:val="184E41FF"/>
    <w:rsid w:val="1865790E"/>
    <w:rsid w:val="189E6B7E"/>
    <w:rsid w:val="18E41C4F"/>
    <w:rsid w:val="18EA25BB"/>
    <w:rsid w:val="193B3817"/>
    <w:rsid w:val="19497A6B"/>
    <w:rsid w:val="1998123A"/>
    <w:rsid w:val="19DF1744"/>
    <w:rsid w:val="1A8B6B5A"/>
    <w:rsid w:val="1AE736E0"/>
    <w:rsid w:val="1AF5353D"/>
    <w:rsid w:val="1B493578"/>
    <w:rsid w:val="1B5723EF"/>
    <w:rsid w:val="1B93321C"/>
    <w:rsid w:val="1BAD400C"/>
    <w:rsid w:val="1C380FAC"/>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9C0C5F"/>
    <w:rsid w:val="223E3923"/>
    <w:rsid w:val="22CD72A0"/>
    <w:rsid w:val="22DC6C27"/>
    <w:rsid w:val="230709BE"/>
    <w:rsid w:val="232E6BE4"/>
    <w:rsid w:val="2333299E"/>
    <w:rsid w:val="23B92E0F"/>
    <w:rsid w:val="24640781"/>
    <w:rsid w:val="24972E1D"/>
    <w:rsid w:val="2575459C"/>
    <w:rsid w:val="258F1C50"/>
    <w:rsid w:val="260C2C13"/>
    <w:rsid w:val="26DE5391"/>
    <w:rsid w:val="26F92D9C"/>
    <w:rsid w:val="270D3904"/>
    <w:rsid w:val="27727EF2"/>
    <w:rsid w:val="27E167C8"/>
    <w:rsid w:val="27E8188C"/>
    <w:rsid w:val="27FC6D6D"/>
    <w:rsid w:val="280F7F64"/>
    <w:rsid w:val="286E79EF"/>
    <w:rsid w:val="295D2E54"/>
    <w:rsid w:val="29E733A5"/>
    <w:rsid w:val="29EC6ACA"/>
    <w:rsid w:val="2A6F6F5A"/>
    <w:rsid w:val="2A752D03"/>
    <w:rsid w:val="2A954942"/>
    <w:rsid w:val="2AB93E05"/>
    <w:rsid w:val="2AD02384"/>
    <w:rsid w:val="2B4772A9"/>
    <w:rsid w:val="2B4A4982"/>
    <w:rsid w:val="2B6C2AA5"/>
    <w:rsid w:val="2BBE2380"/>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1D1758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8FB5099"/>
    <w:rsid w:val="391D2725"/>
    <w:rsid w:val="39241426"/>
    <w:rsid w:val="3A0A5821"/>
    <w:rsid w:val="3A13303C"/>
    <w:rsid w:val="3AE30FAC"/>
    <w:rsid w:val="3B3A67B9"/>
    <w:rsid w:val="3B572D45"/>
    <w:rsid w:val="3BB22FC4"/>
    <w:rsid w:val="3BB47094"/>
    <w:rsid w:val="3BD82555"/>
    <w:rsid w:val="3C396CD8"/>
    <w:rsid w:val="3D912EF9"/>
    <w:rsid w:val="3DA25E25"/>
    <w:rsid w:val="3E103198"/>
    <w:rsid w:val="3E346E0B"/>
    <w:rsid w:val="3E5C675F"/>
    <w:rsid w:val="3E817133"/>
    <w:rsid w:val="3EBE1131"/>
    <w:rsid w:val="3F3512E9"/>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30BA5"/>
    <w:rsid w:val="44D66D93"/>
    <w:rsid w:val="44E060BF"/>
    <w:rsid w:val="45484D77"/>
    <w:rsid w:val="45976AE3"/>
    <w:rsid w:val="45D1027C"/>
    <w:rsid w:val="46653F5C"/>
    <w:rsid w:val="4670116D"/>
    <w:rsid w:val="46AE67A2"/>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8D071A"/>
    <w:rsid w:val="4FA771C2"/>
    <w:rsid w:val="4FDC7DDA"/>
    <w:rsid w:val="5003209D"/>
    <w:rsid w:val="508E2B4E"/>
    <w:rsid w:val="51233D82"/>
    <w:rsid w:val="524A480D"/>
    <w:rsid w:val="5263348D"/>
    <w:rsid w:val="527E7420"/>
    <w:rsid w:val="5292301A"/>
    <w:rsid w:val="52C10CD7"/>
    <w:rsid w:val="52F64CB8"/>
    <w:rsid w:val="52FB39A7"/>
    <w:rsid w:val="531641E9"/>
    <w:rsid w:val="5446604D"/>
    <w:rsid w:val="547E1AE0"/>
    <w:rsid w:val="547F6E7B"/>
    <w:rsid w:val="5495528E"/>
    <w:rsid w:val="54F554AC"/>
    <w:rsid w:val="551A0D5D"/>
    <w:rsid w:val="55EE4C06"/>
    <w:rsid w:val="561A148B"/>
    <w:rsid w:val="565B213D"/>
    <w:rsid w:val="56D444B4"/>
    <w:rsid w:val="572D0183"/>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694D9B"/>
    <w:rsid w:val="6B110ED0"/>
    <w:rsid w:val="6B3D74AC"/>
    <w:rsid w:val="6BF5199F"/>
    <w:rsid w:val="6C81461E"/>
    <w:rsid w:val="6CE610BF"/>
    <w:rsid w:val="6CED312F"/>
    <w:rsid w:val="6D1916FD"/>
    <w:rsid w:val="6D226C43"/>
    <w:rsid w:val="6D535020"/>
    <w:rsid w:val="6DCF5925"/>
    <w:rsid w:val="6E383ABA"/>
    <w:rsid w:val="6E412EFC"/>
    <w:rsid w:val="6E8B493F"/>
    <w:rsid w:val="6EA3545A"/>
    <w:rsid w:val="6F9F7F7D"/>
    <w:rsid w:val="719A4F83"/>
    <w:rsid w:val="71B15F38"/>
    <w:rsid w:val="71DE50A5"/>
    <w:rsid w:val="722B548E"/>
    <w:rsid w:val="722E4AEA"/>
    <w:rsid w:val="73683978"/>
    <w:rsid w:val="73F43F5E"/>
    <w:rsid w:val="7438150C"/>
    <w:rsid w:val="746F037C"/>
    <w:rsid w:val="74B0661C"/>
    <w:rsid w:val="74F82EAA"/>
    <w:rsid w:val="75457DB7"/>
    <w:rsid w:val="7563067A"/>
    <w:rsid w:val="75E55D62"/>
    <w:rsid w:val="76466533"/>
    <w:rsid w:val="767D7D24"/>
    <w:rsid w:val="769413F2"/>
    <w:rsid w:val="77F97E1C"/>
    <w:rsid w:val="785111E8"/>
    <w:rsid w:val="78E831F4"/>
    <w:rsid w:val="79A15BA9"/>
    <w:rsid w:val="79AC141B"/>
    <w:rsid w:val="79B51E35"/>
    <w:rsid w:val="79EA27D4"/>
    <w:rsid w:val="7AE23540"/>
    <w:rsid w:val="7BE17F0A"/>
    <w:rsid w:val="7C1A41A7"/>
    <w:rsid w:val="7C29457B"/>
    <w:rsid w:val="7CE9423F"/>
    <w:rsid w:val="7D9A1A1C"/>
    <w:rsid w:val="7E163DF2"/>
    <w:rsid w:val="7E1D587C"/>
    <w:rsid w:val="7E220861"/>
    <w:rsid w:val="7E6F3B0D"/>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link w:val="35"/>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5"/>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Body Text"/>
    <w:basedOn w:val="1"/>
    <w:qFormat/>
    <w:uiPriority w:val="0"/>
    <w:pPr>
      <w:spacing w:after="120" w:afterLines="0" w:afterAutospacing="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9"/>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paragraph" w:styleId="24">
    <w:name w:val="Quote"/>
    <w:basedOn w:val="1"/>
    <w:next w:val="1"/>
    <w:qFormat/>
    <w:uiPriority w:val="0"/>
    <w:rPr>
      <w:i/>
      <w:iCs/>
      <w:color w:val="000000"/>
      <w:szCs w:val="22"/>
    </w:rPr>
  </w:style>
  <w:style w:type="character" w:customStyle="1" w:styleId="25">
    <w:name w:val="标题 1 Char"/>
    <w:link w:val="2"/>
    <w:qFormat/>
    <w:uiPriority w:val="0"/>
    <w:rPr>
      <w:rFonts w:hint="eastAsia" w:ascii="Times New Roman" w:hAnsi="Times New Roman" w:eastAsia="宋体"/>
      <w:b/>
      <w:color w:val="000000"/>
      <w:kern w:val="44"/>
      <w:sz w:val="44"/>
      <w:lang w:val="zh-CN"/>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font21"/>
    <w:basedOn w:val="20"/>
    <w:qFormat/>
    <w:uiPriority w:val="0"/>
    <w:rPr>
      <w:rFonts w:ascii="Calibri" w:hAnsi="Calibri" w:cs="Calibri"/>
      <w:color w:val="000000"/>
      <w:sz w:val="18"/>
      <w:szCs w:val="18"/>
      <w:u w:val="none"/>
    </w:rPr>
  </w:style>
  <w:style w:type="character" w:customStyle="1" w:styleId="28">
    <w:name w:val="font01"/>
    <w:basedOn w:val="20"/>
    <w:qFormat/>
    <w:uiPriority w:val="0"/>
    <w:rPr>
      <w:rFonts w:hint="eastAsia" w:ascii="宋体" w:hAnsi="宋体" w:eastAsia="宋体" w:cs="宋体"/>
      <w:color w:val="000000"/>
      <w:sz w:val="18"/>
      <w:szCs w:val="18"/>
      <w:u w:val="none"/>
    </w:rPr>
  </w:style>
  <w:style w:type="paragraph" w:styleId="29">
    <w:name w:val="List Paragraph"/>
    <w:basedOn w:val="1"/>
    <w:qFormat/>
    <w:uiPriority w:val="34"/>
    <w:pPr>
      <w:ind w:firstLine="420" w:firstLineChars="200"/>
    </w:pPr>
    <w:rPr>
      <w:rFonts w:ascii="Calibri" w:hAnsi="Calibri" w:eastAsia="宋体" w:cs="Times New Roman"/>
      <w:sz w:val="21"/>
      <w:szCs w:val="22"/>
    </w:rPr>
  </w:style>
  <w:style w:type="paragraph" w:customStyle="1" w:styleId="30">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1">
    <w:name w:val="_Style 1"/>
    <w:basedOn w:val="1"/>
    <w:qFormat/>
    <w:uiPriority w:val="34"/>
    <w:pPr>
      <w:ind w:firstLine="420" w:firstLineChars="200"/>
    </w:pPr>
  </w:style>
  <w:style w:type="paragraph" w:customStyle="1" w:styleId="32">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font11"/>
    <w:basedOn w:val="20"/>
    <w:qFormat/>
    <w:uiPriority w:val="0"/>
    <w:rPr>
      <w:rFonts w:hint="eastAsia" w:ascii="宋体" w:hAnsi="宋体" w:eastAsia="宋体" w:cs="宋体"/>
      <w:color w:val="000000"/>
      <w:sz w:val="21"/>
      <w:szCs w:val="21"/>
      <w:u w:val="none"/>
    </w:rPr>
  </w:style>
  <w:style w:type="character" w:customStyle="1" w:styleId="35">
    <w:name w:val="标题 2 Char"/>
    <w:link w:val="3"/>
    <w:qFormat/>
    <w:uiPriority w:val="9"/>
    <w:rPr>
      <w:rFonts w:ascii="Cambria" w:hAnsi="Cambria" w:eastAsia="宋体"/>
      <w:b/>
      <w:bCs/>
      <w:kern w:val="0"/>
      <w:sz w:val="28"/>
      <w:szCs w:val="32"/>
    </w:rPr>
  </w:style>
  <w:style w:type="paragraph" w:customStyle="1" w:styleId="36">
    <w:name w:val="模板普通正文"/>
    <w:basedOn w:val="7"/>
    <w:qFormat/>
    <w:uiPriority w:val="0"/>
    <w:pPr>
      <w:spacing w:beforeLines="50" w:after="10"/>
      <w:ind w:firstLine="490" w:firstLineChars="175"/>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6269</Words>
  <Characters>6513</Characters>
  <Lines>0</Lines>
  <Paragraphs>0</Paragraphs>
  <TotalTime>9</TotalTime>
  <ScaleCrop>false</ScaleCrop>
  <LinksUpToDate>false</LinksUpToDate>
  <CharactersWithSpaces>6678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2024-10-30T08:11:06Z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E93F75425C4C456CB5DB46C8A6B36A84_13</vt:lpwstr>
  </property>
</Properties>
</file>