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86D8A">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14:paraId="4FEA2787">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院内</w:t>
      </w:r>
      <w:r>
        <w:rPr>
          <w:rFonts w:hint="eastAsia" w:ascii="黑体" w:hAnsi="黑体" w:eastAsia="黑体" w:cs="黑体"/>
          <w:color w:val="FF0000"/>
          <w:sz w:val="36"/>
          <w:szCs w:val="36"/>
          <w:lang w:val="en-US" w:eastAsia="zh-CN"/>
        </w:rPr>
        <w:t>采购</w:t>
      </w:r>
      <w:r>
        <w:rPr>
          <w:rFonts w:hint="eastAsia" w:ascii="黑体" w:hAnsi="黑体" w:eastAsia="黑体" w:cs="黑体"/>
          <w:sz w:val="36"/>
          <w:szCs w:val="36"/>
          <w:lang w:eastAsia="zh-CN"/>
        </w:rPr>
        <w:t>采购公告</w:t>
      </w:r>
    </w:p>
    <w:p w14:paraId="7E40A9DF">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14:paraId="52CBC63B">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采购项目名称：</w:t>
      </w:r>
      <w:bookmarkStart w:id="16" w:name="_GoBack"/>
      <w:r>
        <w:rPr>
          <w:rFonts w:hint="eastAsia" w:ascii="仿宋" w:hAnsi="仿宋" w:eastAsia="仿宋" w:cs="仿宋"/>
          <w:color w:val="555555"/>
          <w:kern w:val="0"/>
          <w:sz w:val="32"/>
          <w:szCs w:val="32"/>
          <w:lang w:val="en-US" w:eastAsia="zh-CN"/>
        </w:rPr>
        <w:t>背囊化医疗应急快速反应小分队装备采购</w:t>
      </w:r>
      <w:bookmarkEnd w:id="16"/>
    </w:p>
    <w:p w14:paraId="5407005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eastAsia="zh-CN"/>
        </w:rPr>
        <w:t>项目采购编号：</w:t>
      </w:r>
      <w:r>
        <w:rPr>
          <w:rFonts w:hint="eastAsia" w:ascii="仿宋" w:hAnsi="仿宋" w:eastAsia="仿宋" w:cs="仿宋"/>
          <w:color w:val="555555"/>
          <w:kern w:val="0"/>
          <w:sz w:val="32"/>
          <w:szCs w:val="32"/>
          <w:lang w:val="en-US" w:eastAsia="zh-CN"/>
        </w:rPr>
        <w:t xml:space="preserve">YNCG2025007   </w:t>
      </w:r>
    </w:p>
    <w:p w14:paraId="504BE74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采购项目内容（详细要求请看附件）：</w:t>
      </w:r>
    </w:p>
    <w:p w14:paraId="4A475AD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二、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14:paraId="0C48E796">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val="en-US" w:eastAsia="zh-CN"/>
        </w:rPr>
        <w:t>三</w:t>
      </w:r>
      <w:r>
        <w:rPr>
          <w:rFonts w:hint="eastAsia" w:ascii="仿宋" w:hAnsi="仿宋" w:eastAsia="仿宋" w:cs="仿宋"/>
          <w:color w:val="555555"/>
          <w:kern w:val="0"/>
          <w:sz w:val="32"/>
          <w:szCs w:val="32"/>
          <w:lang w:eastAsia="zh-CN"/>
        </w:rPr>
        <w:t>、供应商参加本次采购活动</w:t>
      </w:r>
      <w:r>
        <w:rPr>
          <w:rFonts w:hint="eastAsia" w:ascii="仿宋" w:hAnsi="仿宋" w:eastAsia="仿宋" w:cs="仿宋"/>
          <w:color w:val="555555"/>
          <w:kern w:val="0"/>
          <w:sz w:val="32"/>
          <w:szCs w:val="32"/>
          <w:lang w:val="en-US" w:eastAsia="zh-CN"/>
        </w:rPr>
        <w:t>需要</w:t>
      </w:r>
      <w:r>
        <w:rPr>
          <w:rFonts w:hint="eastAsia" w:ascii="仿宋" w:hAnsi="仿宋" w:eastAsia="仿宋" w:cs="仿宋"/>
          <w:color w:val="555555"/>
          <w:kern w:val="0"/>
          <w:sz w:val="32"/>
          <w:szCs w:val="32"/>
          <w:lang w:eastAsia="zh-CN"/>
        </w:rPr>
        <w:t>提交的资料：</w:t>
      </w:r>
    </w:p>
    <w:p w14:paraId="3DB55AE9">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潜在响应供应商可直接从本公告的附件中下载相关文件（如对文件有异议，应在本公告的有效时间电话询问或以书面提出合理质疑。公告到期后未收到书面质疑，视为潜在供应商认同文件的全部内容，采购办不再受理响应供应商对采购公告或相关文件的质疑。）</w:t>
      </w:r>
    </w:p>
    <w:p w14:paraId="783C53A1">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2.提交资料应按照采购文件中的承诺函、廉洁承诺书、采购资质要求、技术及商务要求提供2套。</w:t>
      </w:r>
    </w:p>
    <w:p w14:paraId="620E643A">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3.报价以及资料，采购响应文件封面请注明项目名称、联系人、联系电话、自行密封并加盖公章。</w:t>
      </w:r>
    </w:p>
    <w:p w14:paraId="363A635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4.请满足上述资质要求的供应商于</w:t>
      </w:r>
      <w:r>
        <w:rPr>
          <w:rFonts w:hint="eastAsia" w:ascii="仿宋" w:hAnsi="仿宋" w:eastAsia="仿宋" w:cs="仿宋"/>
          <w:color w:val="FF0000"/>
          <w:kern w:val="0"/>
          <w:sz w:val="32"/>
          <w:szCs w:val="32"/>
          <w:lang w:val="en-US" w:eastAsia="zh-CN"/>
        </w:rPr>
        <w:t>2025年5月20日17:00</w:t>
      </w:r>
      <w:r>
        <w:rPr>
          <w:rFonts w:hint="eastAsia" w:ascii="仿宋" w:hAnsi="仿宋" w:eastAsia="仿宋" w:cs="仿宋"/>
          <w:color w:val="555555"/>
          <w:kern w:val="0"/>
          <w:sz w:val="32"/>
          <w:szCs w:val="32"/>
          <w:lang w:val="en-US" w:eastAsia="zh-CN"/>
        </w:rPr>
        <w:t>之前将资料送至乐山市五通桥区人民医院采购办（行政楼三楼楼梯处），在截至时间以后送到的响应文件将被拒绝并退还给供应商。</w:t>
      </w:r>
    </w:p>
    <w:p w14:paraId="6E635C9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四、其他要求（参加采购的供应商视为全部接受以下条款）</w:t>
      </w:r>
    </w:p>
    <w:p w14:paraId="70BFA8F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1.方案报价在30日内有效，报价包括供应商履约过程中的服务费、人工、差旅、保险、税金与供应商履约所需要的其他所有费用。</w:t>
      </w:r>
    </w:p>
    <w:p w14:paraId="2DF64BF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2.在供应商满足相关资质要求及服务要求的条件下，采购采用</w:t>
      </w:r>
      <w:r>
        <w:rPr>
          <w:rFonts w:hint="eastAsia" w:ascii="仿宋" w:hAnsi="仿宋" w:eastAsia="仿宋" w:cs="仿宋"/>
          <w:color w:val="FF0000"/>
          <w:kern w:val="0"/>
          <w:sz w:val="32"/>
          <w:szCs w:val="32"/>
          <w:lang w:val="en-US" w:eastAsia="zh-CN"/>
        </w:rPr>
        <w:t>综合评分法</w:t>
      </w:r>
      <w:r>
        <w:rPr>
          <w:rFonts w:hint="eastAsia" w:ascii="仿宋" w:hAnsi="仿宋" w:eastAsia="仿宋" w:cs="仿宋"/>
          <w:color w:val="555555"/>
          <w:kern w:val="0"/>
          <w:sz w:val="32"/>
          <w:szCs w:val="32"/>
          <w:lang w:val="en-US" w:eastAsia="zh-CN"/>
        </w:rPr>
        <w:t>，中标结果由医院网站公示，中标公司请在公示后30日内到采购办签订合同，超过公示后30日不响应签订合同的视为放弃中标资格，放弃中标资格或因不可抗力提出不能履行合同的，将按照排名先后顺序依次替补或重新招采。</w:t>
      </w:r>
    </w:p>
    <w:p w14:paraId="1F96F765">
      <w:pPr>
        <w:pStyle w:val="15"/>
        <w:spacing w:line="240" w:lineRule="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3.本项目不接受联合体。</w:t>
      </w:r>
    </w:p>
    <w:p w14:paraId="77572E2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rPr>
        <w:t>联系人:</w:t>
      </w:r>
      <w:r>
        <w:rPr>
          <w:rFonts w:hint="eastAsia" w:ascii="仿宋" w:hAnsi="仿宋" w:eastAsia="仿宋" w:cs="仿宋"/>
          <w:color w:val="FF0000"/>
          <w:kern w:val="0"/>
          <w:sz w:val="32"/>
          <w:szCs w:val="32"/>
          <w:lang w:eastAsia="zh-CN"/>
        </w:rPr>
        <w:t>徐老师</w:t>
      </w:r>
      <w:r>
        <w:rPr>
          <w:rFonts w:hint="eastAsia" w:ascii="仿宋" w:hAnsi="仿宋" w:eastAsia="仿宋" w:cs="仿宋"/>
          <w:color w:val="FF0000"/>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联系电话:</w:t>
      </w:r>
      <w:r>
        <w:rPr>
          <w:rFonts w:hint="eastAsia" w:ascii="仿宋" w:hAnsi="仿宋" w:eastAsia="仿宋" w:cs="仿宋"/>
          <w:color w:val="555555"/>
          <w:kern w:val="0"/>
          <w:sz w:val="32"/>
          <w:szCs w:val="32"/>
          <w:lang w:val="en-US" w:eastAsia="zh-CN"/>
        </w:rPr>
        <w:t>0833-3211269</w:t>
      </w:r>
    </w:p>
    <w:p w14:paraId="43EED618">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14:paraId="0C005918">
      <w:pPr>
        <w:pStyle w:val="5"/>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14:paraId="4A68482B">
      <w:pPr>
        <w:pStyle w:val="30"/>
        <w:spacing w:line="240" w:lineRule="auto"/>
        <w:rPr>
          <w:rFonts w:hint="eastAsia"/>
          <w:lang w:eastAsia="zh-CN"/>
        </w:rPr>
      </w:pPr>
    </w:p>
    <w:p w14:paraId="752D63B9">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14:paraId="47C86D68">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项目参照《中华人民共和国政府采购法》《四川省政府采购非招标采购方式实施办法》等有关法律、法规和规章，通过</w:t>
      </w:r>
      <w:r>
        <w:rPr>
          <w:rFonts w:hint="eastAsia" w:ascii="仿宋" w:hAnsi="仿宋" w:eastAsia="仿宋" w:cs="仿宋"/>
          <w:color w:val="FF0000"/>
          <w:sz w:val="32"/>
          <w:szCs w:val="32"/>
          <w:lang w:val="en-US" w:eastAsia="zh-CN"/>
        </w:rPr>
        <w:t>综合评分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14:paraId="3B6BCC48">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14:paraId="411BB50B">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14:paraId="04614F0E">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14:paraId="57FEB435">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14:paraId="3D9AA500">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”，“于   年  月  日  时  分前不得拆封”等字样。未按询价文件要求密封的响应文件将被拒收。</w:t>
      </w:r>
    </w:p>
    <w:p w14:paraId="499EFADB">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14:paraId="7023D98A">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14:paraId="6981F7BD">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14:paraId="5CC7BC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14:paraId="16780D8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14:paraId="411BA029">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14:paraId="3B27866B">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14:paraId="0BF2A081">
      <w:pPr>
        <w:pStyle w:val="6"/>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14:paraId="2B386358">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14:paraId="28EDF90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可以电话进行询问或以书面形式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14:paraId="587B39DC">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14:paraId="3A13245A">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14:paraId="2F8001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14:paraId="2E0F0D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14:paraId="77FB99C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14:paraId="3649028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14:paraId="21B4DE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14:paraId="2D1FE5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14:paraId="44EE35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14:paraId="04AF29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14:paraId="466F1D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14:paraId="2FB8F3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14:paraId="70D37B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14:paraId="68C4AF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14:paraId="0E2BEE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最终报价为依据（未组织</w:t>
      </w:r>
      <w:r>
        <w:rPr>
          <w:rFonts w:hint="eastAsia" w:ascii="仿宋" w:hAnsi="仿宋" w:eastAsia="仿宋" w:cs="仿宋"/>
          <w:color w:val="000000"/>
          <w:sz w:val="32"/>
          <w:szCs w:val="32"/>
          <w:lang w:val="en-US" w:eastAsia="zh-CN"/>
        </w:rPr>
        <w:t>二次报价</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原则确定成交供应商。</w:t>
      </w:r>
    </w:p>
    <w:p w14:paraId="091173C2">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采用最低评标价法的采购项目，提供相同品牌产品的不同投标人参加同一合同项下投标的，以其中通过资格审查、符合性审查且报价最低的参加评标；报价相同的，由采购人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2BBA66FB">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2432D0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14:paraId="2D517F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14:paraId="2B2F65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14:paraId="7FB8D4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74CD86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14:paraId="11FD72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14:paraId="47EAEE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14:paraId="321478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14:paraId="4AC6F6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14:paraId="6389F7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14:paraId="28ED5D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14:paraId="015F6023">
      <w:pPr>
        <w:pStyle w:val="6"/>
        <w:ind w:left="0" w:leftChars="0" w:firstLine="0" w:firstLineChars="0"/>
        <w:rPr>
          <w:rFonts w:hint="eastAsia" w:ascii="黑体" w:hAnsi="黑体" w:eastAsia="黑体" w:cs="黑体"/>
          <w:lang w:eastAsia="zh-CN"/>
        </w:rPr>
      </w:pPr>
    </w:p>
    <w:p w14:paraId="313622CD">
      <w:pPr>
        <w:rPr>
          <w:rFonts w:hint="eastAsia" w:ascii="黑体" w:hAnsi="黑体" w:eastAsia="黑体" w:cs="黑体"/>
          <w:lang w:val="en-US" w:eastAsia="zh-CN"/>
        </w:rPr>
      </w:pPr>
    </w:p>
    <w:p w14:paraId="05D22D78">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14:paraId="051E9A29">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14:paraId="55C87371">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14:paraId="724E6C68">
      <w:pPr>
        <w:spacing w:line="400" w:lineRule="exact"/>
        <w:ind w:firstLine="4897" w:firstLineChars="583"/>
        <w:rPr>
          <w:rFonts w:hint="eastAsia" w:ascii="黑体" w:hAnsi="黑体" w:eastAsia="黑体" w:cs="黑体"/>
          <w:sz w:val="84"/>
          <w:szCs w:val="84"/>
          <w:lang w:eastAsia="zh-CN"/>
        </w:rPr>
      </w:pPr>
    </w:p>
    <w:p w14:paraId="5E7EE96D">
      <w:pPr>
        <w:pStyle w:val="5"/>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院内询价、采购、谈判、遴选文件</w:t>
      </w:r>
    </w:p>
    <w:p w14:paraId="6FE91240">
      <w:pPr>
        <w:rPr>
          <w:rFonts w:hint="eastAsia" w:ascii="黑体" w:hAnsi="黑体" w:eastAsia="黑体" w:cs="黑体"/>
          <w:sz w:val="84"/>
          <w:szCs w:val="84"/>
          <w:lang w:val="en-US" w:eastAsia="zh-CN"/>
        </w:rPr>
      </w:pPr>
    </w:p>
    <w:p w14:paraId="65B839F2">
      <w:pPr>
        <w:pStyle w:val="5"/>
        <w:rPr>
          <w:rFonts w:hint="eastAsia" w:ascii="黑体" w:hAnsi="黑体" w:eastAsia="黑体" w:cs="黑体"/>
          <w:lang w:val="en-US" w:eastAsia="zh-CN"/>
        </w:rPr>
      </w:pPr>
    </w:p>
    <w:p w14:paraId="24147955">
      <w:pPr>
        <w:spacing w:line="400" w:lineRule="exact"/>
        <w:ind w:firstLine="4897" w:firstLineChars="583"/>
        <w:rPr>
          <w:rFonts w:hint="eastAsia" w:ascii="黑体" w:hAnsi="黑体" w:eastAsia="黑体" w:cs="黑体"/>
          <w:sz w:val="84"/>
          <w:szCs w:val="84"/>
        </w:rPr>
      </w:pPr>
    </w:p>
    <w:p w14:paraId="03B0BC2C">
      <w:pPr>
        <w:spacing w:line="400" w:lineRule="exact"/>
        <w:ind w:firstLine="4897" w:firstLineChars="583"/>
        <w:rPr>
          <w:rFonts w:hint="eastAsia" w:ascii="黑体" w:hAnsi="黑体" w:eastAsia="黑体" w:cs="黑体"/>
          <w:sz w:val="84"/>
          <w:szCs w:val="84"/>
        </w:rPr>
      </w:pPr>
    </w:p>
    <w:p w14:paraId="44CCBE24">
      <w:pPr>
        <w:spacing w:line="400" w:lineRule="exact"/>
        <w:rPr>
          <w:rFonts w:hint="eastAsia" w:ascii="黑体" w:hAnsi="黑体" w:eastAsia="黑体" w:cs="黑体"/>
          <w:b/>
          <w:bCs/>
          <w:sz w:val="30"/>
          <w:szCs w:val="30"/>
        </w:rPr>
      </w:pPr>
    </w:p>
    <w:p w14:paraId="203C3763">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14:paraId="6D849B8D">
      <w:pPr>
        <w:widowControl w:val="0"/>
        <w:adjustRightInd/>
        <w:spacing w:line="360" w:lineRule="auto"/>
        <w:rPr>
          <w:rFonts w:hint="default" w:ascii="黑体" w:hAnsi="黑体" w:eastAsia="黑体" w:cs="黑体"/>
          <w:b/>
          <w:sz w:val="32"/>
          <w:szCs w:val="32"/>
          <w:u w:val="single"/>
          <w:lang w:val="en-US" w:eastAsia="zh-CN"/>
        </w:rPr>
      </w:pPr>
      <w:r>
        <w:rPr>
          <w:rFonts w:hint="eastAsia" w:ascii="黑体" w:hAnsi="黑体" w:eastAsia="黑体" w:cs="黑体"/>
          <w:b/>
          <w:bCs/>
          <w:sz w:val="32"/>
          <w:szCs w:val="32"/>
          <w:lang w:val="en-US" w:eastAsia="zh-CN"/>
        </w:rPr>
        <w:t>项目编号：</w:t>
      </w:r>
      <w:r>
        <w:rPr>
          <w:rFonts w:hint="eastAsia" w:ascii="黑体" w:hAnsi="黑体" w:eastAsia="黑体" w:cs="黑体"/>
          <w:b/>
          <w:sz w:val="32"/>
          <w:szCs w:val="32"/>
          <w:u w:val="single"/>
          <w:lang w:val="en-US" w:eastAsia="zh-CN"/>
        </w:rPr>
        <w:t xml:space="preserve">                            </w:t>
      </w:r>
    </w:p>
    <w:p w14:paraId="45786B23">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14:paraId="00278458">
      <w:pPr>
        <w:widowControl w:val="0"/>
        <w:adjustRightInd/>
        <w:spacing w:line="360" w:lineRule="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联系人及电话：________________________</w:t>
      </w:r>
    </w:p>
    <w:p w14:paraId="11F2C204">
      <w:pPr>
        <w:widowControl w:val="0"/>
        <w:adjustRightInd/>
        <w:spacing w:line="360" w:lineRule="auto"/>
        <w:ind w:firstLine="315" w:firstLineChars="98"/>
        <w:rPr>
          <w:rFonts w:hint="eastAsia" w:ascii="黑体" w:hAnsi="黑体" w:eastAsia="黑体" w:cs="黑体"/>
          <w:b/>
          <w:bCs/>
          <w:sz w:val="32"/>
          <w:szCs w:val="32"/>
        </w:rPr>
      </w:pPr>
    </w:p>
    <w:p w14:paraId="12B15D86">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0888E0B2">
      <w:pPr>
        <w:rPr>
          <w:rFonts w:hint="eastAsia" w:ascii="黑体" w:hAnsi="黑体" w:eastAsia="黑体" w:cs="黑体"/>
          <w:b/>
          <w:bCs/>
          <w:sz w:val="32"/>
          <w:szCs w:val="32"/>
        </w:rPr>
      </w:pPr>
      <w:bookmarkStart w:id="0" w:name="_Toc18458"/>
      <w:bookmarkStart w:id="1" w:name="_Toc9490"/>
      <w:bookmarkStart w:id="2" w:name="_Toc25737"/>
      <w:bookmarkStart w:id="3" w:name="_Toc5773"/>
      <w:r>
        <w:rPr>
          <w:rFonts w:hint="eastAsia" w:ascii="黑体" w:hAnsi="黑体" w:eastAsia="黑体" w:cs="黑体"/>
          <w:b/>
          <w:bCs/>
          <w:sz w:val="32"/>
          <w:szCs w:val="32"/>
        </w:rPr>
        <w:br w:type="page"/>
      </w:r>
    </w:p>
    <w:bookmarkEnd w:id="0"/>
    <w:bookmarkEnd w:id="1"/>
    <w:bookmarkEnd w:id="2"/>
    <w:bookmarkEnd w:id="3"/>
    <w:p w14:paraId="32BAF489">
      <w:pPr>
        <w:spacing w:line="240" w:lineRule="auto"/>
        <w:jc w:val="center"/>
        <w:rPr>
          <w:rFonts w:hint="eastAsia" w:ascii="黑体" w:hAnsi="黑体" w:eastAsia="黑体" w:cs="黑体"/>
          <w:color w:val="000000"/>
          <w:spacing w:val="2"/>
          <w:sz w:val="40"/>
          <w:szCs w:val="40"/>
        </w:rPr>
      </w:pPr>
      <w:bookmarkStart w:id="4" w:name="_Toc439699516"/>
      <w:bookmarkStart w:id="5" w:name="_Toc17549"/>
      <w:bookmarkStart w:id="6" w:name="_Toc4003"/>
      <w:bookmarkStart w:id="7" w:name="_Toc12449"/>
      <w:r>
        <w:rPr>
          <w:rFonts w:hint="eastAsia" w:ascii="黑体" w:hAnsi="黑体" w:eastAsia="黑体" w:cs="黑体"/>
          <w:color w:val="000000"/>
          <w:spacing w:val="2"/>
          <w:sz w:val="40"/>
          <w:szCs w:val="40"/>
        </w:rPr>
        <w:t>承诺函</w:t>
      </w:r>
    </w:p>
    <w:p w14:paraId="65A6C026">
      <w:pPr>
        <w:pStyle w:val="5"/>
        <w:rPr>
          <w:rFonts w:hint="eastAsia" w:ascii="黑体" w:hAnsi="黑体" w:eastAsia="黑体" w:cs="黑体"/>
          <w:sz w:val="28"/>
          <w:szCs w:val="28"/>
        </w:rPr>
      </w:pPr>
    </w:p>
    <w:p w14:paraId="35A996C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14:paraId="621E677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14:paraId="49427B7B">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14:paraId="5808735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14:paraId="45CA6DF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14:paraId="57F8FB37">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14:paraId="442E8C9D">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14:paraId="16F002D8">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14:paraId="6141C7F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14:paraId="6808C17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14:paraId="68046A6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14:paraId="748248BC">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14:paraId="2477C9B4">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14:paraId="30D16A36">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14:paraId="5722C86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14:paraId="1665E5C6">
      <w:pPr>
        <w:pStyle w:val="5"/>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35C9A6E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14:paraId="026D5F56">
      <w:pPr>
        <w:pStyle w:val="29"/>
        <w:rPr>
          <w:rFonts w:hint="eastAsia" w:ascii="仿宋" w:hAnsi="仿宋" w:eastAsia="仿宋" w:cs="仿宋"/>
          <w:sz w:val="32"/>
          <w:szCs w:val="32"/>
        </w:rPr>
      </w:pPr>
    </w:p>
    <w:p w14:paraId="77BBA41A">
      <w:pPr>
        <w:rPr>
          <w:rFonts w:hint="eastAsia"/>
        </w:rPr>
      </w:pPr>
    </w:p>
    <w:p w14:paraId="37D7581A">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14:paraId="767C6A0F">
      <w:pPr>
        <w:snapToGrid w:val="0"/>
        <w:spacing w:line="360" w:lineRule="auto"/>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14:paraId="1B06D298">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w:t>
      </w:r>
      <w:r>
        <w:rPr>
          <w:rFonts w:hint="eastAsia" w:ascii="仿宋" w:hAnsi="仿宋" w:eastAsia="仿宋" w:cs="仿宋"/>
          <w:color w:val="auto"/>
          <w:kern w:val="2"/>
          <w:sz w:val="32"/>
          <w:szCs w:val="32"/>
        </w:rPr>
        <w:t>202</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年  月  日</w:t>
      </w:r>
    </w:p>
    <w:p w14:paraId="13B5865A">
      <w:pPr>
        <w:pStyle w:val="5"/>
        <w:adjustRightInd w:val="0"/>
        <w:snapToGrid w:val="0"/>
        <w:spacing w:after="0" w:line="360" w:lineRule="auto"/>
        <w:ind w:firstLine="560" w:firstLineChars="200"/>
        <w:rPr>
          <w:rFonts w:hint="eastAsia" w:ascii="黑体" w:hAnsi="黑体" w:eastAsia="黑体" w:cs="黑体"/>
          <w:sz w:val="28"/>
          <w:szCs w:val="28"/>
          <w:lang w:eastAsia="zh-CN"/>
        </w:rPr>
      </w:pPr>
    </w:p>
    <w:p w14:paraId="7089335C">
      <w:pPr>
        <w:pStyle w:val="5"/>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14:paraId="1BBDA091">
      <w:pPr>
        <w:spacing w:beforeLines="100" w:afterLines="200" w:line="320" w:lineRule="exact"/>
        <w:jc w:val="center"/>
        <w:rPr>
          <w:rFonts w:hint="eastAsia" w:ascii="黑体" w:hAnsi="黑体" w:eastAsia="黑体" w:cs="黑体"/>
          <w:color w:val="auto"/>
          <w:sz w:val="40"/>
          <w:szCs w:val="40"/>
        </w:rPr>
      </w:pPr>
      <w:bookmarkStart w:id="8" w:name="_Toc16184"/>
      <w:bookmarkStart w:id="9" w:name="_Toc1287"/>
      <w:bookmarkStart w:id="10" w:name="_Toc439699522"/>
      <w:bookmarkStart w:id="11" w:name="_Toc12426"/>
      <w:bookmarkStart w:id="12" w:name="_Toc1800"/>
      <w:bookmarkStart w:id="13" w:name="_Toc24199"/>
      <w:bookmarkStart w:id="14" w:name="_Toc199"/>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14:paraId="148A8028">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14:paraId="18987C15">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14:paraId="1D5853E6">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14:paraId="24F45CC4">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5B254DDC">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4487798B">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0C1B6CE3">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14:paraId="6CE62E76">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14:paraId="27BDA445">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14:paraId="4D3C4AEC">
      <w:pPr>
        <w:pStyle w:val="27"/>
        <w:spacing w:line="240" w:lineRule="auto"/>
        <w:ind w:firstLine="0"/>
        <w:rPr>
          <w:rFonts w:hint="eastAsia" w:ascii="仿宋" w:hAnsi="仿宋" w:eastAsia="仿宋" w:cs="仿宋"/>
          <w:color w:val="auto"/>
          <w:sz w:val="32"/>
          <w:szCs w:val="32"/>
        </w:rPr>
      </w:pPr>
    </w:p>
    <w:p w14:paraId="6DB0E3BA">
      <w:pPr>
        <w:pStyle w:val="27"/>
        <w:spacing w:line="240" w:lineRule="auto"/>
        <w:ind w:firstLine="0"/>
        <w:rPr>
          <w:rFonts w:hint="eastAsia" w:ascii="仿宋" w:hAnsi="仿宋" w:eastAsia="仿宋" w:cs="仿宋"/>
          <w:color w:val="auto"/>
          <w:sz w:val="32"/>
          <w:szCs w:val="32"/>
        </w:rPr>
      </w:pPr>
    </w:p>
    <w:p w14:paraId="3C1F2431">
      <w:pPr>
        <w:autoSpaceDN w:val="0"/>
        <w:spacing w:line="240" w:lineRule="auto"/>
        <w:ind w:firstLine="640" w:firstLineChars="200"/>
        <w:jc w:val="righ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年  月  日</w:t>
      </w:r>
      <w:bookmarkEnd w:id="15"/>
    </w:p>
    <w:p w14:paraId="6936C640">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2D85221F">
      <w:pPr>
        <w:numPr>
          <w:ilvl w:val="0"/>
          <w:numId w:val="2"/>
        </w:numPr>
        <w:jc w:val="center"/>
        <w:rPr>
          <w:rFonts w:hint="eastAsia" w:ascii="黑体" w:hAnsi="黑体" w:eastAsia="黑体" w:cs="黑体"/>
          <w:b/>
          <w:sz w:val="36"/>
          <w:szCs w:val="36"/>
          <w:lang w:val="en-US" w:eastAsia="zh-CN"/>
        </w:rPr>
      </w:pPr>
      <w:r>
        <w:rPr>
          <w:rFonts w:hint="eastAsia" w:ascii="黑体" w:hAnsi="黑体" w:eastAsia="黑体" w:cs="黑体"/>
          <w:b/>
          <w:sz w:val="36"/>
          <w:szCs w:val="36"/>
          <w:lang w:val="en-US" w:eastAsia="zh-CN"/>
        </w:rPr>
        <w:t>采购资质要求</w:t>
      </w:r>
    </w:p>
    <w:p w14:paraId="533A034D">
      <w:pPr>
        <w:pStyle w:val="5"/>
        <w:rPr>
          <w:rFonts w:hint="eastAsia" w:ascii="黑体" w:hAnsi="黑体" w:eastAsia="黑体" w:cs="黑体"/>
          <w:b/>
          <w:sz w:val="36"/>
          <w:szCs w:val="36"/>
          <w:lang w:val="en-US" w:eastAsia="zh-CN"/>
        </w:rPr>
      </w:pPr>
    </w:p>
    <w:p w14:paraId="7F675663">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6"/>
        <w:tblpPr w:leftFromText="180" w:rightFromText="180" w:vertAnchor="text" w:horzAnchor="page" w:tblpX="1286" w:tblpY="371"/>
        <w:tblOverlap w:val="never"/>
        <w:tblW w:w="46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5813"/>
        <w:gridCol w:w="912"/>
        <w:gridCol w:w="1497"/>
      </w:tblGrid>
      <w:tr w14:paraId="4759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90" w:type="pct"/>
            <w:noWrap w:val="0"/>
            <w:vAlign w:val="center"/>
          </w:tcPr>
          <w:p w14:paraId="54D35842">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258" w:type="pct"/>
            <w:noWrap w:val="0"/>
            <w:vAlign w:val="center"/>
          </w:tcPr>
          <w:p w14:paraId="5E0C6461">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1" w:type="pct"/>
            <w:noWrap w:val="0"/>
            <w:vAlign w:val="center"/>
          </w:tcPr>
          <w:p w14:paraId="7E34BE7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39" w:type="pct"/>
            <w:noWrap w:val="0"/>
            <w:vAlign w:val="center"/>
          </w:tcPr>
          <w:p w14:paraId="65C7415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14:paraId="54ED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390" w:type="pct"/>
            <w:noWrap w:val="0"/>
            <w:vAlign w:val="center"/>
          </w:tcPr>
          <w:p w14:paraId="7345429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258" w:type="pct"/>
            <w:noWrap w:val="0"/>
            <w:vAlign w:val="center"/>
          </w:tcPr>
          <w:p w14:paraId="2077600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三证（营业执照、税务登记证、组织机构代码证）副本；三证合一的只须提供营业执照副本；事业单位、社会团体提供法人登记证书复印件</w:t>
            </w:r>
          </w:p>
        </w:tc>
        <w:tc>
          <w:tcPr>
            <w:tcW w:w="511" w:type="pct"/>
            <w:noWrap w:val="0"/>
            <w:vAlign w:val="center"/>
          </w:tcPr>
          <w:p w14:paraId="5C997477">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39" w:type="pct"/>
            <w:noWrap w:val="0"/>
            <w:vAlign w:val="center"/>
          </w:tcPr>
          <w:p w14:paraId="03C1F4A4">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5156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390" w:type="pct"/>
            <w:noWrap w:val="0"/>
            <w:vAlign w:val="center"/>
          </w:tcPr>
          <w:p w14:paraId="1D80CC9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258" w:type="pct"/>
            <w:noWrap w:val="0"/>
            <w:vAlign w:val="center"/>
          </w:tcPr>
          <w:p w14:paraId="57E28AE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1" w:type="pct"/>
            <w:noWrap w:val="0"/>
            <w:vAlign w:val="center"/>
          </w:tcPr>
          <w:p w14:paraId="286C2793">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39" w:type="pct"/>
            <w:noWrap w:val="0"/>
            <w:vAlign w:val="center"/>
          </w:tcPr>
          <w:p w14:paraId="42C7378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14:paraId="052F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390" w:type="pct"/>
            <w:noWrap w:val="0"/>
            <w:vAlign w:val="center"/>
          </w:tcPr>
          <w:p w14:paraId="5CFA2AD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258" w:type="pct"/>
            <w:shd w:val="clear" w:color="auto" w:fill="auto"/>
            <w:noWrap w:val="0"/>
            <w:vAlign w:val="center"/>
          </w:tcPr>
          <w:p w14:paraId="0A250988">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1" w:type="pct"/>
            <w:shd w:val="clear" w:color="auto" w:fill="auto"/>
            <w:noWrap w:val="0"/>
            <w:vAlign w:val="center"/>
          </w:tcPr>
          <w:p w14:paraId="1D9CB619">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有效</w:t>
            </w:r>
          </w:p>
        </w:tc>
        <w:tc>
          <w:tcPr>
            <w:tcW w:w="839" w:type="pct"/>
            <w:shd w:val="clear" w:color="auto" w:fill="auto"/>
            <w:noWrap w:val="0"/>
            <w:vAlign w:val="center"/>
          </w:tcPr>
          <w:p w14:paraId="39107788">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盖章</w:t>
            </w:r>
          </w:p>
        </w:tc>
      </w:tr>
      <w:tr w14:paraId="36A1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390" w:type="pct"/>
            <w:noWrap w:val="0"/>
            <w:vAlign w:val="center"/>
          </w:tcPr>
          <w:p w14:paraId="637F240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258" w:type="pct"/>
            <w:shd w:val="clear" w:color="auto" w:fill="auto"/>
            <w:noWrap w:val="0"/>
            <w:vAlign w:val="center"/>
          </w:tcPr>
          <w:p w14:paraId="24FFDEED">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1" w:type="pct"/>
            <w:shd w:val="clear" w:color="auto" w:fill="auto"/>
            <w:noWrap w:val="0"/>
            <w:vAlign w:val="center"/>
          </w:tcPr>
          <w:p w14:paraId="61A7CF0F">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有效</w:t>
            </w:r>
          </w:p>
        </w:tc>
        <w:tc>
          <w:tcPr>
            <w:tcW w:w="839" w:type="pct"/>
            <w:shd w:val="clear" w:color="auto" w:fill="auto"/>
            <w:noWrap w:val="0"/>
            <w:vAlign w:val="center"/>
          </w:tcPr>
          <w:p w14:paraId="369458A8">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网页截图盖公章</w:t>
            </w:r>
          </w:p>
        </w:tc>
      </w:tr>
      <w:tr w14:paraId="3A1B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390" w:type="pct"/>
            <w:noWrap w:val="0"/>
            <w:vAlign w:val="center"/>
          </w:tcPr>
          <w:p w14:paraId="2111DE3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258" w:type="pct"/>
            <w:noWrap w:val="0"/>
            <w:vAlign w:val="center"/>
          </w:tcPr>
          <w:p w14:paraId="1868FD0C">
            <w:pPr>
              <w:snapToGrid w:val="0"/>
              <w:spacing w:line="240" w:lineRule="auto"/>
              <w:contextualSpacing/>
              <w:rPr>
                <w:rFonts w:hint="eastAsia" w:ascii="仿宋" w:hAnsi="仿宋" w:cs="仿宋" w:eastAsiaTheme="minorEastAsia"/>
                <w:color w:val="000000"/>
                <w:spacing w:val="2"/>
                <w:sz w:val="32"/>
                <w:szCs w:val="32"/>
                <w:lang w:eastAsia="zh-CN"/>
              </w:rPr>
            </w:pPr>
            <w:r>
              <w:rPr>
                <w:rFonts w:hint="eastAsia" w:ascii="仿宋" w:hAnsi="仿宋" w:eastAsia="仿宋" w:cs="仿宋"/>
                <w:color w:val="000000"/>
                <w:spacing w:val="2"/>
                <w:sz w:val="32"/>
                <w:szCs w:val="32"/>
                <w:lang w:val="en-US" w:eastAsia="zh-CN"/>
              </w:rPr>
              <w:t>投标人为生产厂家应具有符合《医疗器械监督管理条例》等政策法规要求的中华人民共和国医疗器械生产许可证或备案凭证；投标人为非生产厂家应具有符合《医疗器械监督管理条例》等政策法规要求的中华人民共和国医疗器械经营许可证或有效备案表（仅限医疗器械适用）</w:t>
            </w:r>
          </w:p>
        </w:tc>
        <w:tc>
          <w:tcPr>
            <w:tcW w:w="511" w:type="pct"/>
            <w:noWrap w:val="0"/>
            <w:vAlign w:val="center"/>
          </w:tcPr>
          <w:p w14:paraId="72980604">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有效</w:t>
            </w:r>
          </w:p>
        </w:tc>
        <w:tc>
          <w:tcPr>
            <w:tcW w:w="839" w:type="pct"/>
            <w:noWrap w:val="0"/>
            <w:vAlign w:val="center"/>
          </w:tcPr>
          <w:p w14:paraId="6264DAF9">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项目1不涉及，用于项目2包医疗设备</w:t>
            </w:r>
          </w:p>
        </w:tc>
      </w:tr>
      <w:tr w14:paraId="2822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90" w:type="pct"/>
            <w:noWrap w:val="0"/>
            <w:vAlign w:val="center"/>
          </w:tcPr>
          <w:p w14:paraId="2E814991">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6</w:t>
            </w:r>
          </w:p>
        </w:tc>
        <w:tc>
          <w:tcPr>
            <w:tcW w:w="3258" w:type="pct"/>
            <w:noWrap w:val="0"/>
            <w:vAlign w:val="center"/>
          </w:tcPr>
          <w:p w14:paraId="4BEDD5F8">
            <w:pPr>
              <w:snapToGrid w:val="0"/>
              <w:spacing w:line="240" w:lineRule="auto"/>
              <w:contextualSpacing/>
              <w:rPr>
                <w:rFonts w:hint="eastAsia" w:ascii="仿宋" w:hAnsi="仿宋" w:eastAsia="仿宋" w:cs="仿宋"/>
                <w:color w:val="000000"/>
                <w:spacing w:val="2"/>
                <w:sz w:val="32"/>
                <w:szCs w:val="32"/>
                <w:lang w:val="en-US" w:eastAsia="zh-CN"/>
              </w:rPr>
            </w:pPr>
          </w:p>
        </w:tc>
        <w:tc>
          <w:tcPr>
            <w:tcW w:w="511" w:type="pct"/>
            <w:noWrap w:val="0"/>
            <w:vAlign w:val="center"/>
          </w:tcPr>
          <w:p w14:paraId="1F4F69D6">
            <w:pPr>
              <w:snapToGrid w:val="0"/>
              <w:spacing w:line="240" w:lineRule="auto"/>
              <w:contextualSpacing/>
              <w:rPr>
                <w:rFonts w:hint="eastAsia" w:ascii="仿宋" w:hAnsi="仿宋" w:eastAsia="仿宋" w:cs="仿宋"/>
                <w:color w:val="000000"/>
                <w:spacing w:val="2"/>
                <w:sz w:val="32"/>
                <w:szCs w:val="32"/>
                <w:lang w:eastAsia="zh-CN"/>
              </w:rPr>
            </w:pPr>
          </w:p>
        </w:tc>
        <w:tc>
          <w:tcPr>
            <w:tcW w:w="839" w:type="pct"/>
            <w:noWrap w:val="0"/>
            <w:vAlign w:val="center"/>
          </w:tcPr>
          <w:p w14:paraId="56F03F65">
            <w:pPr>
              <w:snapToGrid w:val="0"/>
              <w:spacing w:line="240" w:lineRule="auto"/>
              <w:contextualSpacing/>
              <w:rPr>
                <w:rFonts w:hint="eastAsia" w:ascii="仿宋" w:hAnsi="仿宋" w:eastAsia="仿宋" w:cs="仿宋"/>
                <w:color w:val="000000"/>
                <w:spacing w:val="2"/>
                <w:sz w:val="32"/>
                <w:szCs w:val="32"/>
                <w:lang w:eastAsia="zh-CN"/>
              </w:rPr>
            </w:pPr>
          </w:p>
        </w:tc>
      </w:tr>
    </w:tbl>
    <w:p w14:paraId="0C144795">
      <w:pPr>
        <w:pStyle w:val="5"/>
        <w:rPr>
          <w:rFonts w:hint="eastAsia" w:ascii="仿宋" w:hAnsi="仿宋" w:eastAsia="仿宋" w:cs="仿宋"/>
          <w:color w:val="auto"/>
          <w:sz w:val="30"/>
          <w:szCs w:val="30"/>
          <w:highlight w:val="none"/>
          <w:lang w:eastAsia="zh-CN"/>
        </w:rPr>
      </w:pPr>
    </w:p>
    <w:p w14:paraId="5B02DBCE">
      <w:pPr>
        <w:autoSpaceDN w:val="0"/>
        <w:spacing w:line="240" w:lineRule="auto"/>
        <w:ind w:firstLine="6560" w:firstLineChars="2050"/>
        <w:rPr>
          <w:rFonts w:hint="eastAsia" w:ascii="仿宋" w:hAnsi="仿宋" w:eastAsia="仿宋" w:cs="仿宋"/>
          <w:color w:val="auto"/>
          <w:kern w:val="2"/>
          <w:sz w:val="32"/>
          <w:szCs w:val="32"/>
        </w:rPr>
      </w:pPr>
    </w:p>
    <w:p w14:paraId="3B727D9B">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523A648E">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14:paraId="72D33233">
      <w:pPr>
        <w:pStyle w:val="5"/>
        <w:rPr>
          <w:rFonts w:hint="eastAsia" w:ascii="黑体" w:hAnsi="黑体" w:eastAsia="黑体" w:cs="黑体"/>
          <w:lang w:val="en-US" w:eastAsia="zh-CN"/>
        </w:rPr>
      </w:pPr>
    </w:p>
    <w:p w14:paraId="702634C9">
      <w:pPr>
        <w:pStyle w:val="15"/>
        <w:numPr>
          <w:ilvl w:val="0"/>
          <w:numId w:val="0"/>
        </w:numPr>
        <w:spacing w:line="240" w:lineRule="auto"/>
        <w:ind w:leftChars="0" w:firstLine="640" w:firstLineChars="200"/>
        <w:rPr>
          <w:rFonts w:hint="eastAsia" w:ascii="仿宋" w:hAnsi="仿宋" w:eastAsia="仿宋" w:cs="仿宋"/>
          <w:sz w:val="32"/>
          <w:szCs w:val="32"/>
          <w:lang w:val="en-US" w:eastAsia="zh-CN"/>
        </w:rPr>
      </w:pPr>
    </w:p>
    <w:p w14:paraId="1E0BB604">
      <w:pPr>
        <w:pStyle w:val="15"/>
        <w:numPr>
          <w:ilvl w:val="0"/>
          <w:numId w:val="0"/>
        </w:numPr>
        <w:spacing w:line="240" w:lineRule="auto"/>
        <w:ind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项目1：衣服背包及配套物资，预算3.7万元</w:t>
      </w:r>
    </w:p>
    <w:p w14:paraId="2E758947">
      <w:pPr>
        <w:pStyle w:val="15"/>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技术参数要求：</w:t>
      </w:r>
    </w:p>
    <w:p w14:paraId="6C447633">
      <w:pPr>
        <w:pStyle w:val="15"/>
        <w:numPr>
          <w:ilvl w:val="0"/>
          <w:numId w:val="0"/>
        </w:numPr>
        <w:spacing w:line="240" w:lineRule="auto"/>
        <w:ind w:leftChars="0"/>
        <w:rPr>
          <w:rFonts w:hint="default" w:ascii="仿宋" w:hAnsi="仿宋" w:eastAsia="仿宋" w:cs="仿宋"/>
          <w:sz w:val="32"/>
          <w:szCs w:val="32"/>
          <w:vertAlign w:val="baseline"/>
          <w:lang w:val="en-US" w:eastAsia="zh-CN"/>
        </w:rPr>
      </w:pPr>
      <w:r>
        <w:rPr>
          <w:rFonts w:hint="eastAsia" w:ascii="仿宋" w:hAnsi="仿宋" w:eastAsia="仿宋" w:cs="仿宋"/>
          <w:sz w:val="32"/>
          <w:szCs w:val="32"/>
          <w:lang w:val="en-US" w:eastAsia="zh-CN"/>
        </w:rPr>
        <w:t xml:space="preserve">   每套(以下参数为一套)衣服每套限价1723元，总共9套，共计 15184元。</w:t>
      </w:r>
    </w:p>
    <w:tbl>
      <w:tblPr>
        <w:tblStyle w:val="17"/>
        <w:tblW w:w="9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902"/>
        <w:gridCol w:w="1335"/>
        <w:gridCol w:w="6385"/>
      </w:tblGrid>
      <w:tr w14:paraId="01D2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62B01537">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产品名称</w:t>
            </w:r>
          </w:p>
        </w:tc>
        <w:tc>
          <w:tcPr>
            <w:tcW w:w="902" w:type="dxa"/>
          </w:tcPr>
          <w:p w14:paraId="1BD9BD67">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规格</w:t>
            </w:r>
          </w:p>
        </w:tc>
        <w:tc>
          <w:tcPr>
            <w:tcW w:w="1335" w:type="dxa"/>
          </w:tcPr>
          <w:p w14:paraId="13213B42">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类似参考图片</w:t>
            </w:r>
          </w:p>
        </w:tc>
        <w:tc>
          <w:tcPr>
            <w:tcW w:w="6385" w:type="dxa"/>
          </w:tcPr>
          <w:p w14:paraId="17C0534F">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参数</w:t>
            </w:r>
          </w:p>
        </w:tc>
      </w:tr>
      <w:tr w14:paraId="7647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trPr>
        <w:tc>
          <w:tcPr>
            <w:tcW w:w="1131" w:type="dxa"/>
            <w:shd w:val="clear" w:color="auto" w:fill="auto"/>
            <w:vAlign w:val="top"/>
          </w:tcPr>
          <w:p w14:paraId="3062AA26">
            <w:pPr>
              <w:pStyle w:val="31"/>
              <w:spacing w:line="241" w:lineRule="auto"/>
            </w:pPr>
          </w:p>
          <w:p w14:paraId="56DAE3D9">
            <w:pPr>
              <w:pStyle w:val="31"/>
              <w:spacing w:line="241" w:lineRule="auto"/>
            </w:pPr>
          </w:p>
          <w:p w14:paraId="7B071E4B">
            <w:pPr>
              <w:pStyle w:val="31"/>
              <w:spacing w:line="241" w:lineRule="auto"/>
            </w:pPr>
          </w:p>
          <w:p w14:paraId="04F07278">
            <w:pPr>
              <w:pStyle w:val="31"/>
              <w:spacing w:line="242" w:lineRule="auto"/>
            </w:pPr>
          </w:p>
          <w:p w14:paraId="3DF002EC">
            <w:pPr>
              <w:pStyle w:val="31"/>
              <w:spacing w:line="242" w:lineRule="auto"/>
            </w:pPr>
          </w:p>
          <w:p w14:paraId="5F8EF3F8">
            <w:pPr>
              <w:pStyle w:val="31"/>
              <w:spacing w:line="242" w:lineRule="auto"/>
            </w:pPr>
          </w:p>
          <w:p w14:paraId="396A0518">
            <w:pPr>
              <w:pStyle w:val="15"/>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冬上 衣  （含 抓绒</w:t>
            </w:r>
          </w:p>
          <w:p w14:paraId="62DAEB31">
            <w:pPr>
              <w:pStyle w:val="15"/>
              <w:numPr>
                <w:ilvl w:val="0"/>
                <w:numId w:val="0"/>
              </w:numPr>
              <w:spacing w:line="240" w:lineRule="auto"/>
              <w:rPr>
                <w:rFonts w:hint="default" w:ascii="宋体" w:hAnsi="宋体" w:eastAsia="宋体" w:cs="宋体"/>
                <w:kern w:val="2"/>
                <w:sz w:val="24"/>
                <w:szCs w:val="24"/>
                <w:lang w:val="en-US" w:eastAsia="zh-CN" w:bidi="ar-SA"/>
              </w:rPr>
            </w:pPr>
            <w:r>
              <w:rPr>
                <w:rFonts w:hint="eastAsia" w:ascii="仿宋" w:hAnsi="仿宋" w:eastAsia="仿宋" w:cs="仿宋"/>
                <w:sz w:val="32"/>
                <w:szCs w:val="32"/>
                <w:vertAlign w:val="baseline"/>
                <w:lang w:val="en-US" w:eastAsia="zh-CN"/>
              </w:rPr>
              <w:t>内  胆）</w:t>
            </w:r>
          </w:p>
        </w:tc>
        <w:tc>
          <w:tcPr>
            <w:tcW w:w="902" w:type="dxa"/>
            <w:shd w:val="clear" w:color="auto" w:fill="auto"/>
            <w:vAlign w:val="top"/>
          </w:tcPr>
          <w:p w14:paraId="7A224468">
            <w:pPr>
              <w:pStyle w:val="31"/>
              <w:spacing w:line="244" w:lineRule="auto"/>
            </w:pPr>
          </w:p>
          <w:p w14:paraId="23168C8E">
            <w:pPr>
              <w:pStyle w:val="31"/>
              <w:spacing w:line="244" w:lineRule="auto"/>
            </w:pPr>
          </w:p>
          <w:p w14:paraId="561F709B">
            <w:pPr>
              <w:pStyle w:val="31"/>
              <w:spacing w:line="244" w:lineRule="auto"/>
            </w:pPr>
          </w:p>
          <w:p w14:paraId="7BAB4957">
            <w:pPr>
              <w:pStyle w:val="31"/>
              <w:spacing w:line="244" w:lineRule="auto"/>
            </w:pPr>
          </w:p>
          <w:p w14:paraId="5795DDFF">
            <w:pPr>
              <w:pStyle w:val="31"/>
              <w:spacing w:line="245" w:lineRule="auto"/>
            </w:pPr>
          </w:p>
          <w:p w14:paraId="740CEB35">
            <w:pPr>
              <w:pStyle w:val="31"/>
              <w:spacing w:line="245" w:lineRule="auto"/>
            </w:pPr>
          </w:p>
          <w:p w14:paraId="7DA2F23D">
            <w:pPr>
              <w:pStyle w:val="31"/>
              <w:spacing w:line="245" w:lineRule="auto"/>
            </w:pPr>
          </w:p>
          <w:p w14:paraId="07AB5CD4">
            <w:pPr>
              <w:spacing w:before="78" w:line="220" w:lineRule="auto"/>
              <w:ind w:left="112" w:leftChars="0"/>
              <w:rPr>
                <w:rFonts w:hint="default" w:ascii="宋体" w:hAnsi="宋体" w:eastAsia="宋体" w:cs="宋体"/>
                <w:kern w:val="2"/>
                <w:sz w:val="24"/>
                <w:szCs w:val="24"/>
                <w:lang w:val="en-US" w:eastAsia="zh-CN" w:bidi="ar-SA"/>
              </w:rPr>
            </w:pPr>
            <w:r>
              <w:rPr>
                <w:rFonts w:ascii="宋体" w:hAnsi="宋体" w:eastAsia="宋体" w:cs="宋体"/>
                <w:sz w:val="24"/>
                <w:szCs w:val="24"/>
              </w:rPr>
              <w:t>件</w:t>
            </w:r>
          </w:p>
        </w:tc>
        <w:tc>
          <w:tcPr>
            <w:tcW w:w="1335" w:type="dxa"/>
            <w:shd w:val="clear" w:color="auto" w:fill="auto"/>
            <w:vAlign w:val="top"/>
          </w:tcPr>
          <w:p w14:paraId="60657CA7">
            <w:pPr>
              <w:pStyle w:val="31"/>
              <w:spacing w:line="250" w:lineRule="auto"/>
            </w:pPr>
          </w:p>
          <w:p w14:paraId="5C0A59C0">
            <w:pPr>
              <w:pStyle w:val="31"/>
              <w:spacing w:line="251" w:lineRule="auto"/>
            </w:pPr>
          </w:p>
          <w:p w14:paraId="3C6C9310">
            <w:pPr>
              <w:pStyle w:val="31"/>
              <w:spacing w:line="251" w:lineRule="auto"/>
            </w:pPr>
          </w:p>
          <w:p w14:paraId="087AD726">
            <w:pPr>
              <w:pStyle w:val="31"/>
              <w:spacing w:line="251" w:lineRule="auto"/>
            </w:pPr>
            <w:r>
              <w:rPr>
                <w:position w:val="-42"/>
              </w:rPr>
              <w:drawing>
                <wp:anchor distT="0" distB="0" distL="0" distR="0" simplePos="0" relativeHeight="251659264" behindDoc="0" locked="0" layoutInCell="1" allowOverlap="1">
                  <wp:simplePos x="0" y="0"/>
                  <wp:positionH relativeFrom="column">
                    <wp:posOffset>-56515</wp:posOffset>
                  </wp:positionH>
                  <wp:positionV relativeFrom="paragraph">
                    <wp:posOffset>135890</wp:posOffset>
                  </wp:positionV>
                  <wp:extent cx="731520" cy="1334770"/>
                  <wp:effectExtent l="0" t="0" r="11430" b="17780"/>
                  <wp:wrapNone/>
                  <wp:docPr id="4" name="IM 2"/>
                  <wp:cNvGraphicFramePr/>
                  <a:graphic xmlns:a="http://schemas.openxmlformats.org/drawingml/2006/main">
                    <a:graphicData uri="http://schemas.openxmlformats.org/drawingml/2006/picture">
                      <pic:pic xmlns:pic="http://schemas.openxmlformats.org/drawingml/2006/picture">
                        <pic:nvPicPr>
                          <pic:cNvPr id="4" name="IM 2"/>
                          <pic:cNvPicPr/>
                        </pic:nvPicPr>
                        <pic:blipFill>
                          <a:blip r:embed="rId8"/>
                          <a:stretch>
                            <a:fillRect/>
                          </a:stretch>
                        </pic:blipFill>
                        <pic:spPr>
                          <a:xfrm>
                            <a:off x="0" y="0"/>
                            <a:ext cx="731520" cy="1334770"/>
                          </a:xfrm>
                          <a:prstGeom prst="rect">
                            <a:avLst/>
                          </a:prstGeom>
                        </pic:spPr>
                      </pic:pic>
                    </a:graphicData>
                  </a:graphic>
                </wp:anchor>
              </w:drawing>
            </w:r>
          </w:p>
          <w:p w14:paraId="11C42362">
            <w:pPr>
              <w:pStyle w:val="31"/>
              <w:spacing w:line="251" w:lineRule="auto"/>
            </w:pPr>
          </w:p>
          <w:p w14:paraId="3F0896AE">
            <w:pPr>
              <w:pStyle w:val="31"/>
              <w:spacing w:line="251" w:lineRule="auto"/>
            </w:pPr>
          </w:p>
          <w:p w14:paraId="7DFCB9EB">
            <w:pPr>
              <w:pStyle w:val="31"/>
              <w:spacing w:line="251" w:lineRule="auto"/>
            </w:pPr>
          </w:p>
          <w:p w14:paraId="35DAD9B1">
            <w:pPr>
              <w:pStyle w:val="31"/>
              <w:spacing w:line="251" w:lineRule="auto"/>
            </w:pPr>
          </w:p>
          <w:p w14:paraId="54EF6008">
            <w:pPr>
              <w:pStyle w:val="31"/>
              <w:spacing w:line="251" w:lineRule="auto"/>
            </w:pPr>
          </w:p>
          <w:p w14:paraId="63B06B10">
            <w:pPr>
              <w:pStyle w:val="31"/>
              <w:spacing w:line="251" w:lineRule="auto"/>
            </w:pPr>
          </w:p>
          <w:p w14:paraId="35B1CE93">
            <w:pPr>
              <w:pStyle w:val="31"/>
              <w:spacing w:line="251" w:lineRule="auto"/>
            </w:pPr>
          </w:p>
          <w:p w14:paraId="6A5B86A6">
            <w:pPr>
              <w:pStyle w:val="31"/>
              <w:spacing w:line="251" w:lineRule="auto"/>
            </w:pPr>
          </w:p>
          <w:p w14:paraId="36565DE1">
            <w:pPr>
              <w:pStyle w:val="31"/>
              <w:spacing w:line="251" w:lineRule="auto"/>
            </w:pPr>
          </w:p>
          <w:p w14:paraId="43BFB599">
            <w:pPr>
              <w:spacing w:line="2102" w:lineRule="exact"/>
              <w:ind w:firstLine="559" w:firstLineChars="0"/>
              <w:rPr>
                <w:rFonts w:hint="default" w:asciiTheme="minorHAnsi" w:hAnsiTheme="minorHAnsi" w:eastAsiaTheme="minorEastAsia" w:cstheme="minorBidi"/>
                <w:kern w:val="2"/>
                <w:sz w:val="21"/>
                <w:szCs w:val="24"/>
                <w:lang w:val="en-US" w:eastAsia="zh-CN" w:bidi="ar-SA"/>
              </w:rPr>
            </w:pPr>
          </w:p>
        </w:tc>
        <w:tc>
          <w:tcPr>
            <w:tcW w:w="6385" w:type="dxa"/>
            <w:shd w:val="clear" w:color="auto" w:fill="auto"/>
            <w:vAlign w:val="top"/>
          </w:tcPr>
          <w:p w14:paraId="514DFF95">
            <w:pPr>
              <w:spacing w:before="39" w:line="220" w:lineRule="auto"/>
              <w:ind w:left="114"/>
              <w:rPr>
                <w:rFonts w:hint="default" w:ascii="宋体" w:hAnsi="宋体" w:eastAsia="宋体" w:cs="宋体"/>
                <w:spacing w:val="-5"/>
                <w:sz w:val="24"/>
                <w:szCs w:val="24"/>
                <w:lang w:val="en-US" w:eastAsia="zh-CN"/>
              </w:rPr>
            </w:pPr>
            <w:r>
              <w:rPr>
                <w:rFonts w:ascii="宋体" w:hAnsi="宋体" w:eastAsia="宋体" w:cs="宋体"/>
                <w:spacing w:val="-11"/>
                <w:sz w:val="24"/>
                <w:szCs w:val="24"/>
              </w:rPr>
              <w:t>面料要求：</w:t>
            </w:r>
            <w:r>
              <w:rPr>
                <w:rFonts w:ascii="宋体" w:hAnsi="宋体" w:eastAsia="宋体" w:cs="宋体"/>
                <w:spacing w:val="-5"/>
                <w:sz w:val="24"/>
                <w:szCs w:val="24"/>
              </w:rPr>
              <w:t>(1)采用塔丝隆牛津布</w:t>
            </w:r>
            <w:r>
              <w:rPr>
                <w:rFonts w:ascii="宋体" w:hAnsi="宋体" w:eastAsia="宋体" w:cs="宋体"/>
                <w:spacing w:val="-9"/>
                <w:sz w:val="24"/>
                <w:szCs w:val="24"/>
              </w:rPr>
              <w:t>面料，成份为</w:t>
            </w:r>
            <w:r>
              <w:rPr>
                <w:rFonts w:ascii="宋体" w:hAnsi="宋体" w:eastAsia="宋体" w:cs="宋体"/>
                <w:spacing w:val="-24"/>
                <w:sz w:val="24"/>
                <w:szCs w:val="24"/>
              </w:rPr>
              <w:t xml:space="preserve"> </w:t>
            </w:r>
            <w:r>
              <w:rPr>
                <w:rFonts w:ascii="宋体" w:hAnsi="宋体" w:eastAsia="宋体" w:cs="宋体"/>
                <w:spacing w:val="-9"/>
                <w:sz w:val="24"/>
                <w:szCs w:val="24"/>
              </w:rPr>
              <w:t>100% 锦纶</w:t>
            </w:r>
            <w:r>
              <w:rPr>
                <w:rFonts w:ascii="宋体" w:hAnsi="宋体" w:eastAsia="宋体" w:cs="宋体"/>
                <w:sz w:val="24"/>
                <w:szCs w:val="24"/>
              </w:rPr>
              <w:t xml:space="preserve"> </w:t>
            </w:r>
            <w:r>
              <w:rPr>
                <w:rFonts w:ascii="宋体" w:hAnsi="宋体" w:eastAsia="宋体" w:cs="宋体"/>
                <w:spacing w:val="-2"/>
                <w:sz w:val="24"/>
                <w:szCs w:val="24"/>
              </w:rPr>
              <w:t>短纤维;工艺要求采用</w:t>
            </w:r>
            <w:r>
              <w:rPr>
                <w:rFonts w:ascii="宋体" w:hAnsi="宋体" w:eastAsia="宋体" w:cs="宋体"/>
                <w:spacing w:val="-1"/>
                <w:sz w:val="24"/>
                <w:szCs w:val="24"/>
              </w:rPr>
              <w:t>精细交织技术及特殊整</w:t>
            </w:r>
            <w:r>
              <w:rPr>
                <w:rFonts w:ascii="宋体" w:hAnsi="宋体" w:eastAsia="宋体" w:cs="宋体"/>
                <w:sz w:val="24"/>
                <w:szCs w:val="24"/>
              </w:rPr>
              <w:t xml:space="preserve"> </w:t>
            </w:r>
            <w:r>
              <w:rPr>
                <w:rFonts w:ascii="宋体" w:hAnsi="宋体" w:eastAsia="宋体" w:cs="宋体"/>
                <w:spacing w:val="-2"/>
                <w:sz w:val="24"/>
                <w:szCs w:val="24"/>
              </w:rPr>
              <w:t>理工艺,背面复合乳白</w:t>
            </w:r>
            <w:r>
              <w:rPr>
                <w:rFonts w:ascii="宋体" w:hAnsi="宋体" w:eastAsia="宋体" w:cs="宋体"/>
                <w:spacing w:val="-3"/>
                <w:sz w:val="24"/>
                <w:szCs w:val="24"/>
              </w:rPr>
              <w:t>色防水透湿</w:t>
            </w:r>
            <w:r>
              <w:rPr>
                <w:rFonts w:ascii="宋体" w:hAnsi="宋体" w:eastAsia="宋体" w:cs="宋体"/>
                <w:spacing w:val="-48"/>
                <w:sz w:val="24"/>
                <w:szCs w:val="24"/>
              </w:rPr>
              <w:t xml:space="preserve"> </w:t>
            </w:r>
            <w:r>
              <w:rPr>
                <w:rFonts w:ascii="宋体" w:hAnsi="宋体" w:eastAsia="宋体" w:cs="宋体"/>
                <w:spacing w:val="-3"/>
                <w:sz w:val="24"/>
                <w:szCs w:val="24"/>
              </w:rPr>
              <w:t>TPU</w:t>
            </w:r>
            <w:r>
              <w:rPr>
                <w:rFonts w:ascii="宋体" w:hAnsi="宋体" w:eastAsia="宋体" w:cs="宋体"/>
                <w:spacing w:val="-54"/>
                <w:sz w:val="24"/>
                <w:szCs w:val="24"/>
              </w:rPr>
              <w:t xml:space="preserve"> </w:t>
            </w:r>
            <w:r>
              <w:rPr>
                <w:rFonts w:ascii="宋体" w:hAnsi="宋体" w:eastAsia="宋体" w:cs="宋体"/>
                <w:spacing w:val="-3"/>
                <w:sz w:val="24"/>
                <w:szCs w:val="24"/>
              </w:rPr>
              <w:t>膜;布质</w:t>
            </w:r>
            <w:r>
              <w:rPr>
                <w:rFonts w:ascii="宋体" w:hAnsi="宋体" w:eastAsia="宋体" w:cs="宋体"/>
                <w:sz w:val="24"/>
                <w:szCs w:val="24"/>
              </w:rPr>
              <w:t xml:space="preserve"> </w:t>
            </w:r>
            <w:r>
              <w:rPr>
                <w:rFonts w:ascii="宋体" w:hAnsi="宋体" w:eastAsia="宋体" w:cs="宋体"/>
                <w:spacing w:val="-5"/>
                <w:sz w:val="24"/>
                <w:szCs w:val="24"/>
              </w:rPr>
              <w:t>要求轻盈柔软、光洁、</w:t>
            </w:r>
            <w:r>
              <w:rPr>
                <w:rFonts w:ascii="宋体" w:hAnsi="宋体" w:eastAsia="宋体" w:cs="宋体"/>
                <w:spacing w:val="-7"/>
                <w:sz w:val="24"/>
                <w:szCs w:val="24"/>
              </w:rPr>
              <w:t>平滑，伸缩回弹不变形，</w:t>
            </w:r>
            <w:r>
              <w:rPr>
                <w:rFonts w:ascii="宋体" w:hAnsi="宋体" w:eastAsia="宋体" w:cs="宋体"/>
                <w:spacing w:val="6"/>
                <w:sz w:val="24"/>
                <w:szCs w:val="24"/>
              </w:rPr>
              <w:t xml:space="preserve"> </w:t>
            </w:r>
            <w:r>
              <w:rPr>
                <w:rFonts w:ascii="宋体" w:hAnsi="宋体" w:eastAsia="宋体" w:cs="宋体"/>
                <w:spacing w:val="-3"/>
                <w:sz w:val="24"/>
                <w:szCs w:val="24"/>
              </w:rPr>
              <w:t>易于保养;性能要求防</w:t>
            </w:r>
            <w:r>
              <w:rPr>
                <w:rFonts w:ascii="宋体" w:hAnsi="宋体" w:eastAsia="宋体" w:cs="宋体"/>
                <w:spacing w:val="-8"/>
                <w:sz w:val="24"/>
                <w:szCs w:val="24"/>
              </w:rPr>
              <w:t>寒、防风、防水、防潮，</w:t>
            </w:r>
            <w:r>
              <w:rPr>
                <w:rFonts w:ascii="宋体" w:hAnsi="宋体" w:eastAsia="宋体" w:cs="宋体"/>
                <w:spacing w:val="9"/>
                <w:sz w:val="24"/>
                <w:szCs w:val="24"/>
              </w:rPr>
              <w:t xml:space="preserve"> </w:t>
            </w:r>
            <w:r>
              <w:rPr>
                <w:rFonts w:ascii="宋体" w:hAnsi="宋体" w:eastAsia="宋体" w:cs="宋体"/>
                <w:spacing w:val="-6"/>
                <w:sz w:val="24"/>
                <w:szCs w:val="24"/>
              </w:rPr>
              <w:t>透气性强，不致过敏</w:t>
            </w:r>
            <w:r>
              <w:rPr>
                <w:rFonts w:ascii="宋体" w:hAnsi="宋体" w:eastAsia="宋体" w:cs="宋体"/>
                <w:spacing w:val="-72"/>
                <w:sz w:val="24"/>
                <w:szCs w:val="24"/>
              </w:rPr>
              <w:t xml:space="preserve"> </w:t>
            </w:r>
            <w:r>
              <w:rPr>
                <w:rFonts w:ascii="宋体" w:hAnsi="宋体" w:eastAsia="宋体" w:cs="宋体"/>
                <w:spacing w:val="-6"/>
                <w:sz w:val="24"/>
                <w:szCs w:val="24"/>
              </w:rPr>
              <w:t>;全</w:t>
            </w:r>
            <w:r>
              <w:rPr>
                <w:rFonts w:ascii="宋体" w:hAnsi="宋体" w:eastAsia="宋体" w:cs="宋体"/>
                <w:sz w:val="24"/>
                <w:szCs w:val="24"/>
              </w:rPr>
              <w:t xml:space="preserve"> </w:t>
            </w:r>
            <w:r>
              <w:rPr>
                <w:rFonts w:ascii="宋体" w:hAnsi="宋体" w:eastAsia="宋体" w:cs="宋体"/>
                <w:spacing w:val="-5"/>
                <w:sz w:val="24"/>
                <w:szCs w:val="24"/>
              </w:rPr>
              <w:t>线位密封，防寒、防风、</w:t>
            </w:r>
            <w:r>
              <w:rPr>
                <w:rFonts w:ascii="宋体" w:hAnsi="宋体" w:eastAsia="宋体" w:cs="宋体"/>
                <w:spacing w:val="-10"/>
                <w:sz w:val="24"/>
                <w:szCs w:val="24"/>
              </w:rPr>
              <w:t>防水。</w:t>
            </w:r>
            <w:r>
              <w:rPr>
                <w:rFonts w:ascii="宋体" w:hAnsi="宋体" w:eastAsia="宋体" w:cs="宋体"/>
                <w:spacing w:val="-5"/>
                <w:sz w:val="24"/>
                <w:szCs w:val="24"/>
              </w:rPr>
              <w:t>(2)100%锦纶，不得含</w:t>
            </w:r>
            <w:r>
              <w:rPr>
                <w:rFonts w:ascii="宋体" w:hAnsi="宋体" w:eastAsia="宋体" w:cs="宋体"/>
                <w:spacing w:val="-1"/>
                <w:sz w:val="24"/>
                <w:szCs w:val="24"/>
              </w:rPr>
              <w:t>有甲醛成分，洗前耐静</w:t>
            </w:r>
            <w:r>
              <w:rPr>
                <w:rFonts w:ascii="宋体" w:hAnsi="宋体" w:eastAsia="宋体" w:cs="宋体"/>
                <w:spacing w:val="-2"/>
                <w:sz w:val="24"/>
                <w:szCs w:val="24"/>
              </w:rPr>
              <w:t>水压&gt;50kPa/min，面料透湿率≥</w:t>
            </w:r>
            <w:r>
              <w:rPr>
                <w:rFonts w:ascii="宋体" w:hAnsi="宋体" w:eastAsia="宋体" w:cs="宋体"/>
                <w:spacing w:val="-10"/>
                <w:sz w:val="24"/>
                <w:szCs w:val="24"/>
              </w:rPr>
              <w:t>10000g/(㎡ ·24h)，表</w:t>
            </w:r>
            <w:r>
              <w:rPr>
                <w:rFonts w:ascii="宋体" w:hAnsi="宋体" w:eastAsia="宋体" w:cs="宋体"/>
                <w:spacing w:val="-9"/>
                <w:sz w:val="24"/>
                <w:szCs w:val="24"/>
              </w:rPr>
              <w:t>面抗湿性≥4</w:t>
            </w:r>
            <w:r>
              <w:rPr>
                <w:rFonts w:ascii="宋体" w:hAnsi="宋体" w:eastAsia="宋体" w:cs="宋体"/>
                <w:spacing w:val="-42"/>
                <w:sz w:val="24"/>
                <w:szCs w:val="24"/>
              </w:rPr>
              <w:t xml:space="preserve"> </w:t>
            </w:r>
            <w:r>
              <w:rPr>
                <w:rFonts w:ascii="宋体" w:hAnsi="宋体" w:eastAsia="宋体" w:cs="宋体"/>
                <w:spacing w:val="-9"/>
                <w:sz w:val="24"/>
                <w:szCs w:val="24"/>
              </w:rPr>
              <w:t>级，撕破强</w:t>
            </w:r>
            <w:r>
              <w:rPr>
                <w:rFonts w:ascii="宋体" w:hAnsi="宋体" w:eastAsia="宋体" w:cs="宋体"/>
                <w:spacing w:val="-2"/>
                <w:sz w:val="24"/>
                <w:szCs w:val="24"/>
              </w:rPr>
              <w:t>力≥70N。</w:t>
            </w:r>
            <w:r>
              <w:rPr>
                <w:rFonts w:ascii="宋体" w:hAnsi="宋体" w:eastAsia="宋体" w:cs="宋体"/>
                <w:spacing w:val="-5"/>
                <w:sz w:val="24"/>
                <w:szCs w:val="24"/>
              </w:rPr>
              <w:t>(3)面料防护性能的</w:t>
            </w:r>
            <w:r>
              <w:rPr>
                <w:rFonts w:ascii="宋体" w:hAnsi="宋体" w:eastAsia="宋体" w:cs="宋体"/>
                <w:spacing w:val="-1"/>
                <w:sz w:val="24"/>
                <w:szCs w:val="24"/>
              </w:rPr>
              <w:t>抗合成血液穿透性符合</w:t>
            </w:r>
            <w:r>
              <w:rPr>
                <w:rFonts w:ascii="宋体" w:hAnsi="宋体" w:eastAsia="宋体" w:cs="宋体"/>
                <w:sz w:val="24"/>
                <w:szCs w:val="24"/>
              </w:rPr>
              <w:t xml:space="preserve">  </w:t>
            </w:r>
            <w:r>
              <w:rPr>
                <w:rFonts w:ascii="宋体" w:hAnsi="宋体" w:eastAsia="宋体" w:cs="宋体"/>
                <w:spacing w:val="-1"/>
                <w:sz w:val="24"/>
                <w:szCs w:val="24"/>
              </w:rPr>
              <w:t>GB 19082-2009《医用一</w:t>
            </w:r>
            <w:r>
              <w:rPr>
                <w:rFonts w:ascii="宋体" w:hAnsi="宋体" w:eastAsia="宋体" w:cs="宋体"/>
                <w:spacing w:val="-5"/>
                <w:sz w:val="24"/>
                <w:szCs w:val="24"/>
              </w:rPr>
              <w:t>次性防护服技术要求》。</w:t>
            </w:r>
            <w:r>
              <w:rPr>
                <w:rFonts w:ascii="宋体" w:hAnsi="宋体" w:eastAsia="宋体" w:cs="宋体"/>
                <w:spacing w:val="-9"/>
                <w:sz w:val="24"/>
                <w:szCs w:val="24"/>
              </w:rPr>
              <w:t>2.颜色要求：</w:t>
            </w:r>
            <w:r>
              <w:rPr>
                <w:rFonts w:ascii="宋体" w:hAnsi="宋体" w:eastAsia="宋体" w:cs="宋体"/>
                <w:spacing w:val="-1"/>
                <w:sz w:val="24"/>
                <w:szCs w:val="24"/>
              </w:rPr>
              <w:t>采用绣红色(哈佛红)和藏青色搭配，颜色应符合《中国卫生应急服装</w:t>
            </w:r>
            <w:r>
              <w:rPr>
                <w:rFonts w:ascii="宋体" w:hAnsi="宋体" w:eastAsia="宋体" w:cs="宋体"/>
                <w:spacing w:val="-2"/>
                <w:sz w:val="24"/>
                <w:szCs w:val="24"/>
              </w:rPr>
              <w:t>技术规范(试行)》相关</w:t>
            </w:r>
            <w:r>
              <w:rPr>
                <w:rFonts w:ascii="宋体" w:hAnsi="宋体" w:eastAsia="宋体" w:cs="宋体"/>
                <w:sz w:val="24"/>
                <w:szCs w:val="24"/>
              </w:rPr>
              <w:t xml:space="preserve">  </w:t>
            </w:r>
            <w:r>
              <w:rPr>
                <w:rFonts w:ascii="宋体" w:hAnsi="宋体" w:eastAsia="宋体" w:cs="宋体"/>
                <w:spacing w:val="-1"/>
                <w:sz w:val="24"/>
                <w:szCs w:val="24"/>
              </w:rPr>
              <w:t>规定。内胆采用高保温</w:t>
            </w:r>
            <w:r>
              <w:rPr>
                <w:rFonts w:ascii="宋体" w:hAnsi="宋体" w:eastAsia="宋体" w:cs="宋体"/>
                <w:sz w:val="24"/>
                <w:szCs w:val="24"/>
              </w:rPr>
              <w:t xml:space="preserve">  </w:t>
            </w:r>
            <w:r>
              <w:rPr>
                <w:rFonts w:ascii="宋体" w:hAnsi="宋体" w:eastAsia="宋体" w:cs="宋体"/>
                <w:spacing w:val="-5"/>
                <w:sz w:val="24"/>
                <w:szCs w:val="24"/>
              </w:rPr>
              <w:t>抓绒材料，保暖性能强，</w:t>
            </w:r>
            <w:r>
              <w:rPr>
                <w:rFonts w:ascii="宋体" w:hAnsi="宋体" w:eastAsia="宋体" w:cs="宋体"/>
                <w:spacing w:val="2"/>
                <w:sz w:val="24"/>
                <w:szCs w:val="24"/>
              </w:rPr>
              <w:t xml:space="preserve"> </w:t>
            </w:r>
            <w:r>
              <w:rPr>
                <w:rFonts w:ascii="宋体" w:hAnsi="宋体" w:eastAsia="宋体" w:cs="宋体"/>
                <w:spacing w:val="-5"/>
                <w:sz w:val="24"/>
                <w:szCs w:val="24"/>
              </w:rPr>
              <w:t>超轻耐洗，不容易变形。</w:t>
            </w:r>
            <w:r>
              <w:rPr>
                <w:rFonts w:ascii="宋体" w:hAnsi="宋体" w:eastAsia="宋体" w:cs="宋体"/>
                <w:spacing w:val="-1"/>
                <w:sz w:val="24"/>
                <w:szCs w:val="24"/>
              </w:rPr>
              <w:t>抓绒面料克重为不小于</w:t>
            </w:r>
            <w:r>
              <w:rPr>
                <w:rFonts w:ascii="宋体" w:hAnsi="宋体" w:eastAsia="宋体" w:cs="宋体"/>
                <w:sz w:val="24"/>
                <w:szCs w:val="24"/>
              </w:rPr>
              <w:t xml:space="preserve">  </w:t>
            </w:r>
            <w:r>
              <w:rPr>
                <w:rFonts w:ascii="宋体" w:hAnsi="宋体" w:eastAsia="宋体" w:cs="宋体"/>
                <w:spacing w:val="-2"/>
                <w:sz w:val="24"/>
                <w:szCs w:val="24"/>
              </w:rPr>
              <w:t>320g/㎡。颜色</w:t>
            </w:r>
            <w:r>
              <w:rPr>
                <w:rFonts w:ascii="宋体" w:hAnsi="宋体" w:eastAsia="宋体" w:cs="宋体"/>
                <w:b/>
                <w:bCs/>
                <w:spacing w:val="-2"/>
                <w:sz w:val="24"/>
                <w:szCs w:val="24"/>
              </w:rPr>
              <w:t>：</w:t>
            </w:r>
            <w:r>
              <w:rPr>
                <w:rFonts w:ascii="宋体" w:hAnsi="宋体" w:eastAsia="宋体" w:cs="宋体"/>
                <w:spacing w:val="-2"/>
                <w:sz w:val="24"/>
                <w:szCs w:val="24"/>
              </w:rPr>
              <w:t>全部为</w:t>
            </w:r>
            <w:r>
              <w:rPr>
                <w:rFonts w:ascii="宋体" w:hAnsi="宋体" w:eastAsia="宋体" w:cs="宋体"/>
                <w:spacing w:val="8"/>
                <w:sz w:val="24"/>
                <w:szCs w:val="24"/>
              </w:rPr>
              <w:t xml:space="preserve"> </w:t>
            </w:r>
            <w:r>
              <w:rPr>
                <w:rFonts w:ascii="宋体" w:hAnsi="宋体" w:eastAsia="宋体" w:cs="宋体"/>
                <w:spacing w:val="4"/>
                <w:sz w:val="24"/>
                <w:szCs w:val="24"/>
              </w:rPr>
              <w:t>黑色。款式</w:t>
            </w:r>
            <w:r>
              <w:rPr>
                <w:rFonts w:ascii="宋体" w:hAnsi="宋体" w:eastAsia="宋体" w:cs="宋体"/>
                <w:spacing w:val="-32"/>
                <w:sz w:val="24"/>
                <w:szCs w:val="24"/>
              </w:rPr>
              <w:t>：（</w:t>
            </w:r>
            <w:r>
              <w:rPr>
                <w:rFonts w:ascii="宋体" w:hAnsi="宋体" w:eastAsia="宋体" w:cs="宋体"/>
                <w:spacing w:val="4"/>
                <w:sz w:val="24"/>
                <w:szCs w:val="24"/>
              </w:rPr>
              <w:t>1）抓绒</w:t>
            </w:r>
            <w:r>
              <w:rPr>
                <w:rFonts w:ascii="宋体" w:hAnsi="宋体" w:eastAsia="宋体" w:cs="宋体"/>
                <w:spacing w:val="1"/>
                <w:sz w:val="24"/>
                <w:szCs w:val="24"/>
              </w:rPr>
              <w:t xml:space="preserve"> </w:t>
            </w:r>
            <w:r>
              <w:rPr>
                <w:rFonts w:ascii="宋体" w:hAnsi="宋体" w:eastAsia="宋体" w:cs="宋体"/>
                <w:spacing w:val="-1"/>
                <w:sz w:val="24"/>
                <w:szCs w:val="24"/>
              </w:rPr>
              <w:t>内胆可以拆卸，并可单</w:t>
            </w:r>
            <w:r>
              <w:rPr>
                <w:rFonts w:ascii="宋体" w:hAnsi="宋体" w:eastAsia="宋体" w:cs="宋体"/>
                <w:sz w:val="24"/>
                <w:szCs w:val="24"/>
              </w:rPr>
              <w:t xml:space="preserve">  </w:t>
            </w:r>
            <w:r>
              <w:rPr>
                <w:rFonts w:ascii="宋体" w:hAnsi="宋体" w:eastAsia="宋体" w:cs="宋体"/>
                <w:spacing w:val="-13"/>
                <w:sz w:val="24"/>
                <w:szCs w:val="24"/>
              </w:rPr>
              <w:t>独穿着；</w:t>
            </w:r>
            <w:r>
              <w:rPr>
                <w:rFonts w:ascii="宋体" w:hAnsi="宋体" w:eastAsia="宋体" w:cs="宋体"/>
                <w:spacing w:val="-6"/>
                <w:sz w:val="24"/>
                <w:szCs w:val="24"/>
              </w:rPr>
              <w:t>（2）内部有较大的口</w:t>
            </w:r>
            <w:r>
              <w:rPr>
                <w:rFonts w:ascii="宋体" w:hAnsi="宋体" w:eastAsia="宋体" w:cs="宋体"/>
                <w:spacing w:val="3"/>
                <w:sz w:val="24"/>
                <w:szCs w:val="24"/>
              </w:rPr>
              <w:t xml:space="preserve">  </w:t>
            </w:r>
            <w:r>
              <w:rPr>
                <w:rFonts w:ascii="宋体" w:hAnsi="宋体" w:eastAsia="宋体" w:cs="宋体"/>
                <w:spacing w:val="-5"/>
                <w:sz w:val="24"/>
                <w:szCs w:val="24"/>
              </w:rPr>
              <w:t>袋，方便存放对讲机、</w:t>
            </w:r>
            <w:r>
              <w:rPr>
                <w:rFonts w:ascii="宋体" w:hAnsi="宋体" w:eastAsia="宋体" w:cs="宋体"/>
                <w:spacing w:val="5"/>
                <w:sz w:val="24"/>
                <w:szCs w:val="24"/>
              </w:rPr>
              <w:t xml:space="preserve"> </w:t>
            </w:r>
            <w:r>
              <w:rPr>
                <w:rFonts w:ascii="宋体" w:hAnsi="宋体" w:eastAsia="宋体" w:cs="宋体"/>
                <w:spacing w:val="-5"/>
                <w:sz w:val="24"/>
                <w:szCs w:val="24"/>
              </w:rPr>
              <w:t>手机等怕冷怕湿物件。</w:t>
            </w:r>
          </w:p>
        </w:tc>
      </w:tr>
      <w:tr w14:paraId="59FA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shd w:val="clear" w:color="auto" w:fill="auto"/>
            <w:vAlign w:val="top"/>
          </w:tcPr>
          <w:p w14:paraId="3ECA6C33">
            <w:pPr>
              <w:pStyle w:val="31"/>
              <w:spacing w:line="256" w:lineRule="auto"/>
            </w:pPr>
          </w:p>
          <w:p w14:paraId="28B28038">
            <w:pPr>
              <w:pStyle w:val="31"/>
              <w:spacing w:line="256" w:lineRule="auto"/>
            </w:pPr>
          </w:p>
          <w:p w14:paraId="1F0B6432">
            <w:pPr>
              <w:pStyle w:val="31"/>
              <w:spacing w:line="257" w:lineRule="auto"/>
            </w:pPr>
          </w:p>
          <w:p w14:paraId="3C653247">
            <w:pPr>
              <w:spacing w:before="78" w:line="230" w:lineRule="auto"/>
              <w:ind w:left="125" w:leftChars="0" w:right="126" w:rightChars="0" w:hanging="2" w:firstLineChars="0"/>
              <w:rPr>
                <w:rFonts w:hint="default" w:ascii="宋体" w:hAnsi="宋体" w:eastAsia="宋体" w:cs="宋体"/>
                <w:kern w:val="2"/>
                <w:sz w:val="24"/>
                <w:szCs w:val="24"/>
                <w:lang w:val="en-US" w:eastAsia="zh-CN" w:bidi="ar-SA"/>
              </w:rPr>
            </w:pPr>
            <w:r>
              <w:rPr>
                <w:rFonts w:ascii="宋体" w:hAnsi="宋体" w:eastAsia="宋体" w:cs="宋体"/>
                <w:spacing w:val="-5"/>
                <w:sz w:val="24"/>
                <w:szCs w:val="24"/>
              </w:rPr>
              <w:t>春秋</w:t>
            </w:r>
            <w:r>
              <w:rPr>
                <w:rFonts w:ascii="宋体" w:hAnsi="宋体" w:eastAsia="宋体" w:cs="宋体"/>
                <w:sz w:val="24"/>
                <w:szCs w:val="24"/>
              </w:rPr>
              <w:t xml:space="preserve"> </w:t>
            </w:r>
            <w:r>
              <w:rPr>
                <w:rFonts w:ascii="宋体" w:hAnsi="宋体" w:eastAsia="宋体" w:cs="宋体"/>
                <w:spacing w:val="-6"/>
                <w:sz w:val="24"/>
                <w:szCs w:val="24"/>
              </w:rPr>
              <w:t>夹克</w:t>
            </w:r>
          </w:p>
        </w:tc>
        <w:tc>
          <w:tcPr>
            <w:tcW w:w="902" w:type="dxa"/>
            <w:shd w:val="clear" w:color="auto" w:fill="auto"/>
            <w:vAlign w:val="top"/>
          </w:tcPr>
          <w:p w14:paraId="6931BA44">
            <w:pPr>
              <w:pStyle w:val="31"/>
              <w:spacing w:line="249" w:lineRule="auto"/>
            </w:pPr>
          </w:p>
          <w:p w14:paraId="5AEDE76E">
            <w:pPr>
              <w:pStyle w:val="31"/>
              <w:spacing w:line="249" w:lineRule="auto"/>
            </w:pPr>
          </w:p>
          <w:p w14:paraId="580079CB">
            <w:pPr>
              <w:pStyle w:val="31"/>
              <w:spacing w:line="250" w:lineRule="auto"/>
            </w:pPr>
          </w:p>
          <w:p w14:paraId="59A38E91">
            <w:pPr>
              <w:pStyle w:val="31"/>
              <w:spacing w:line="250" w:lineRule="auto"/>
            </w:pPr>
          </w:p>
          <w:p w14:paraId="275FDB4E">
            <w:pPr>
              <w:pStyle w:val="31"/>
              <w:spacing w:line="250" w:lineRule="auto"/>
            </w:pPr>
          </w:p>
          <w:p w14:paraId="5EBC976C">
            <w:pPr>
              <w:pStyle w:val="31"/>
              <w:spacing w:line="250" w:lineRule="auto"/>
            </w:pPr>
          </w:p>
          <w:p w14:paraId="17979F5C">
            <w:pPr>
              <w:pStyle w:val="31"/>
              <w:spacing w:line="250" w:lineRule="auto"/>
            </w:pPr>
          </w:p>
          <w:p w14:paraId="7300868F">
            <w:pPr>
              <w:pStyle w:val="31"/>
              <w:spacing w:line="250" w:lineRule="auto"/>
            </w:pPr>
          </w:p>
          <w:p w14:paraId="243C8393">
            <w:pPr>
              <w:spacing w:before="78" w:line="220" w:lineRule="auto"/>
              <w:ind w:left="112" w:leftChars="0"/>
              <w:rPr>
                <w:rFonts w:hint="default" w:ascii="宋体" w:hAnsi="宋体" w:eastAsia="宋体" w:cs="宋体"/>
                <w:kern w:val="2"/>
                <w:sz w:val="24"/>
                <w:szCs w:val="24"/>
                <w:lang w:val="en-US" w:eastAsia="zh-CN" w:bidi="ar-SA"/>
              </w:rPr>
            </w:pPr>
            <w:r>
              <w:rPr>
                <w:rFonts w:ascii="宋体" w:hAnsi="宋体" w:eastAsia="宋体" w:cs="宋体"/>
                <w:sz w:val="24"/>
                <w:szCs w:val="24"/>
              </w:rPr>
              <w:t>件</w:t>
            </w:r>
          </w:p>
        </w:tc>
        <w:tc>
          <w:tcPr>
            <w:tcW w:w="1335" w:type="dxa"/>
            <w:shd w:val="clear" w:color="auto" w:fill="auto"/>
            <w:vAlign w:val="top"/>
          </w:tcPr>
          <w:p w14:paraId="107ABB0C">
            <w:pPr>
              <w:pStyle w:val="31"/>
              <w:spacing w:line="259" w:lineRule="auto"/>
            </w:pPr>
          </w:p>
          <w:p w14:paraId="7A480B28">
            <w:pPr>
              <w:pStyle w:val="31"/>
              <w:spacing w:line="259" w:lineRule="auto"/>
            </w:pPr>
          </w:p>
          <w:p w14:paraId="6B68DC76">
            <w:pPr>
              <w:pStyle w:val="31"/>
              <w:spacing w:line="259" w:lineRule="auto"/>
            </w:pPr>
            <w:r>
              <w:rPr>
                <w:position w:val="-54"/>
              </w:rPr>
              <w:drawing>
                <wp:anchor distT="0" distB="0" distL="0" distR="0" simplePos="0" relativeHeight="251660288" behindDoc="0" locked="0" layoutInCell="1" allowOverlap="1">
                  <wp:simplePos x="0" y="0"/>
                  <wp:positionH relativeFrom="column">
                    <wp:posOffset>-41275</wp:posOffset>
                  </wp:positionH>
                  <wp:positionV relativeFrom="paragraph">
                    <wp:posOffset>36830</wp:posOffset>
                  </wp:positionV>
                  <wp:extent cx="929005" cy="1733550"/>
                  <wp:effectExtent l="0" t="0" r="4445" b="0"/>
                  <wp:wrapNone/>
                  <wp:docPr id="6" name="IM 4"/>
                  <wp:cNvGraphicFramePr/>
                  <a:graphic xmlns:a="http://schemas.openxmlformats.org/drawingml/2006/main">
                    <a:graphicData uri="http://schemas.openxmlformats.org/drawingml/2006/picture">
                      <pic:pic xmlns:pic="http://schemas.openxmlformats.org/drawingml/2006/picture">
                        <pic:nvPicPr>
                          <pic:cNvPr id="6" name="IM 4"/>
                          <pic:cNvPicPr/>
                        </pic:nvPicPr>
                        <pic:blipFill>
                          <a:blip r:embed="rId9"/>
                          <a:stretch>
                            <a:fillRect/>
                          </a:stretch>
                        </pic:blipFill>
                        <pic:spPr>
                          <a:xfrm>
                            <a:off x="0" y="0"/>
                            <a:ext cx="929639" cy="1734184"/>
                          </a:xfrm>
                          <a:prstGeom prst="rect">
                            <a:avLst/>
                          </a:prstGeom>
                        </pic:spPr>
                      </pic:pic>
                    </a:graphicData>
                  </a:graphic>
                </wp:anchor>
              </w:drawing>
            </w:r>
          </w:p>
          <w:p w14:paraId="096666CC">
            <w:pPr>
              <w:pStyle w:val="31"/>
              <w:spacing w:line="260" w:lineRule="auto"/>
            </w:pPr>
          </w:p>
          <w:p w14:paraId="5FF6FF94">
            <w:pPr>
              <w:spacing w:line="2731" w:lineRule="exact"/>
              <w:ind w:firstLine="400" w:firstLineChars="0"/>
              <w:rPr>
                <w:rFonts w:hint="default" w:asciiTheme="minorHAnsi" w:hAnsiTheme="minorHAnsi" w:eastAsiaTheme="minorEastAsia" w:cstheme="minorBidi"/>
                <w:kern w:val="2"/>
                <w:sz w:val="21"/>
                <w:szCs w:val="24"/>
                <w:lang w:val="en-US" w:eastAsia="zh-CN" w:bidi="ar-SA"/>
              </w:rPr>
            </w:pPr>
          </w:p>
        </w:tc>
        <w:tc>
          <w:tcPr>
            <w:tcW w:w="6385" w:type="dxa"/>
            <w:shd w:val="clear" w:color="auto" w:fill="auto"/>
            <w:vAlign w:val="top"/>
          </w:tcPr>
          <w:p w14:paraId="0F7CF656">
            <w:pPr>
              <w:spacing w:before="34" w:line="219" w:lineRule="auto"/>
              <w:ind w:left="112"/>
              <w:rPr>
                <w:rFonts w:hint="default" w:ascii="宋体" w:hAnsi="宋体" w:eastAsia="宋体" w:cs="宋体"/>
                <w:kern w:val="2"/>
                <w:sz w:val="24"/>
                <w:szCs w:val="24"/>
                <w:lang w:val="en-US" w:eastAsia="zh-CN" w:bidi="ar-SA"/>
              </w:rPr>
            </w:pPr>
            <w:r>
              <w:rPr>
                <w:rFonts w:ascii="宋体" w:hAnsi="宋体" w:eastAsia="宋体" w:cs="宋体"/>
                <w:spacing w:val="-1"/>
                <w:sz w:val="24"/>
                <w:szCs w:val="24"/>
              </w:rPr>
              <w:t>采用塔丝隆牛津布面</w:t>
            </w:r>
            <w:r>
              <w:rPr>
                <w:rFonts w:ascii="宋体" w:hAnsi="宋体" w:eastAsia="宋体" w:cs="宋体"/>
                <w:spacing w:val="-8"/>
                <w:sz w:val="24"/>
                <w:szCs w:val="24"/>
              </w:rPr>
              <w:t>料，成份为</w:t>
            </w:r>
            <w:r>
              <w:rPr>
                <w:rFonts w:ascii="宋体" w:hAnsi="宋体" w:eastAsia="宋体" w:cs="宋体"/>
                <w:spacing w:val="-35"/>
                <w:sz w:val="24"/>
                <w:szCs w:val="24"/>
              </w:rPr>
              <w:t xml:space="preserve"> </w:t>
            </w:r>
            <w:r>
              <w:rPr>
                <w:rFonts w:ascii="宋体" w:hAnsi="宋体" w:eastAsia="宋体" w:cs="宋体"/>
                <w:spacing w:val="-8"/>
                <w:sz w:val="24"/>
                <w:szCs w:val="24"/>
              </w:rPr>
              <w:t>100% 锦纶短</w:t>
            </w:r>
            <w:r>
              <w:rPr>
                <w:rFonts w:ascii="宋体" w:hAnsi="宋体" w:eastAsia="宋体" w:cs="宋体"/>
                <w:sz w:val="24"/>
                <w:szCs w:val="24"/>
              </w:rPr>
              <w:t xml:space="preserve"> </w:t>
            </w:r>
            <w:r>
              <w:rPr>
                <w:rFonts w:ascii="宋体" w:hAnsi="宋体" w:eastAsia="宋体" w:cs="宋体"/>
                <w:spacing w:val="-2"/>
                <w:sz w:val="24"/>
                <w:szCs w:val="24"/>
              </w:rPr>
              <w:t>纤维；工艺要求采用精</w:t>
            </w:r>
            <w:r>
              <w:rPr>
                <w:rFonts w:ascii="宋体" w:hAnsi="宋体" w:eastAsia="宋体" w:cs="宋体"/>
                <w:spacing w:val="4"/>
                <w:sz w:val="24"/>
                <w:szCs w:val="24"/>
              </w:rPr>
              <w:t xml:space="preserve">  </w:t>
            </w:r>
            <w:r>
              <w:rPr>
                <w:rFonts w:ascii="宋体" w:hAnsi="宋体" w:eastAsia="宋体" w:cs="宋体"/>
                <w:spacing w:val="-2"/>
                <w:sz w:val="24"/>
                <w:szCs w:val="24"/>
              </w:rPr>
              <w:t>细交织技术及特殊整理工艺,背面复合乳白色</w:t>
            </w:r>
            <w:r>
              <w:rPr>
                <w:rFonts w:ascii="宋体" w:hAnsi="宋体" w:eastAsia="宋体" w:cs="宋体"/>
                <w:spacing w:val="-4"/>
                <w:sz w:val="24"/>
                <w:szCs w:val="24"/>
              </w:rPr>
              <w:t>防水透湿</w:t>
            </w:r>
            <w:r>
              <w:rPr>
                <w:rFonts w:ascii="宋体" w:hAnsi="宋体" w:eastAsia="宋体" w:cs="宋体"/>
                <w:spacing w:val="-53"/>
                <w:sz w:val="24"/>
                <w:szCs w:val="24"/>
              </w:rPr>
              <w:t xml:space="preserve"> </w:t>
            </w:r>
            <w:r>
              <w:rPr>
                <w:rFonts w:ascii="宋体" w:hAnsi="宋体" w:eastAsia="宋体" w:cs="宋体"/>
                <w:spacing w:val="-4"/>
                <w:sz w:val="24"/>
                <w:szCs w:val="24"/>
              </w:rPr>
              <w:t>TPU</w:t>
            </w:r>
            <w:r>
              <w:rPr>
                <w:rFonts w:ascii="宋体" w:hAnsi="宋体" w:eastAsia="宋体" w:cs="宋体"/>
                <w:spacing w:val="-53"/>
                <w:sz w:val="24"/>
                <w:szCs w:val="24"/>
              </w:rPr>
              <w:t xml:space="preserve"> </w:t>
            </w:r>
            <w:r>
              <w:rPr>
                <w:rFonts w:ascii="宋体" w:hAnsi="宋体" w:eastAsia="宋体" w:cs="宋体"/>
                <w:spacing w:val="-4"/>
                <w:sz w:val="24"/>
                <w:szCs w:val="24"/>
              </w:rPr>
              <w:t>膜；布质</w:t>
            </w:r>
            <w:r>
              <w:rPr>
                <w:rFonts w:ascii="宋体" w:hAnsi="宋体" w:eastAsia="宋体" w:cs="宋体"/>
                <w:sz w:val="24"/>
                <w:szCs w:val="24"/>
              </w:rPr>
              <w:t xml:space="preserve"> </w:t>
            </w:r>
            <w:r>
              <w:rPr>
                <w:rFonts w:ascii="宋体" w:hAnsi="宋体" w:eastAsia="宋体" w:cs="宋体"/>
                <w:spacing w:val="-5"/>
                <w:sz w:val="24"/>
                <w:szCs w:val="24"/>
              </w:rPr>
              <w:t>要求轻盈柔软、光洁、平滑，伸缩回弹不变形，</w:t>
            </w:r>
            <w:r>
              <w:rPr>
                <w:rFonts w:ascii="宋体" w:hAnsi="宋体" w:eastAsia="宋体" w:cs="宋体"/>
                <w:spacing w:val="1"/>
                <w:sz w:val="24"/>
                <w:szCs w:val="24"/>
              </w:rPr>
              <w:t xml:space="preserve"> </w:t>
            </w:r>
            <w:r>
              <w:rPr>
                <w:rFonts w:ascii="宋体" w:hAnsi="宋体" w:eastAsia="宋体" w:cs="宋体"/>
                <w:spacing w:val="-1"/>
                <w:sz w:val="24"/>
                <w:szCs w:val="24"/>
              </w:rPr>
              <w:t>易于保养；性能要求防</w:t>
            </w:r>
            <w:r>
              <w:rPr>
                <w:rFonts w:ascii="宋体" w:hAnsi="宋体" w:eastAsia="宋体" w:cs="宋体"/>
                <w:sz w:val="24"/>
                <w:szCs w:val="24"/>
              </w:rPr>
              <w:t xml:space="preserve">  </w:t>
            </w:r>
            <w:r>
              <w:rPr>
                <w:rFonts w:ascii="宋体" w:hAnsi="宋体" w:eastAsia="宋体" w:cs="宋体"/>
                <w:spacing w:val="-22"/>
                <w:sz w:val="24"/>
                <w:szCs w:val="24"/>
              </w:rPr>
              <w:t>寒、防风、防水、防潮(吸</w:t>
            </w:r>
            <w:r>
              <w:rPr>
                <w:rFonts w:ascii="宋体" w:hAnsi="宋体" w:eastAsia="宋体" w:cs="宋体"/>
                <w:spacing w:val="9"/>
                <w:sz w:val="24"/>
                <w:szCs w:val="24"/>
              </w:rPr>
              <w:t xml:space="preserve"> </w:t>
            </w:r>
            <w:r>
              <w:rPr>
                <w:rFonts w:ascii="宋体" w:hAnsi="宋体" w:eastAsia="宋体" w:cs="宋体"/>
                <w:spacing w:val="-9"/>
                <w:sz w:val="24"/>
                <w:szCs w:val="24"/>
              </w:rPr>
              <w:t>水率少于自重的</w:t>
            </w:r>
            <w:r>
              <w:rPr>
                <w:rFonts w:ascii="宋体" w:hAnsi="宋体" w:eastAsia="宋体" w:cs="宋体"/>
                <w:spacing w:val="-32"/>
                <w:sz w:val="24"/>
                <w:szCs w:val="24"/>
              </w:rPr>
              <w:t xml:space="preserve"> </w:t>
            </w:r>
            <w:r>
              <w:rPr>
                <w:rFonts w:ascii="宋体" w:hAnsi="宋体" w:eastAsia="宋体" w:cs="宋体"/>
                <w:spacing w:val="-9"/>
                <w:sz w:val="24"/>
                <w:szCs w:val="24"/>
              </w:rPr>
              <w:t>1%)，透</w:t>
            </w:r>
            <w:r>
              <w:rPr>
                <w:rFonts w:ascii="宋体" w:hAnsi="宋体" w:eastAsia="宋体" w:cs="宋体"/>
                <w:sz w:val="24"/>
                <w:szCs w:val="24"/>
              </w:rPr>
              <w:t xml:space="preserve"> </w:t>
            </w:r>
            <w:r>
              <w:rPr>
                <w:rFonts w:ascii="宋体" w:hAnsi="宋体" w:eastAsia="宋体" w:cs="宋体"/>
                <w:spacing w:val="-1"/>
                <w:sz w:val="24"/>
                <w:szCs w:val="24"/>
              </w:rPr>
              <w:t>气性强，不致过敏；全</w:t>
            </w:r>
            <w:r>
              <w:rPr>
                <w:rFonts w:ascii="宋体" w:hAnsi="宋体" w:eastAsia="宋体" w:cs="宋体"/>
                <w:spacing w:val="-5"/>
                <w:sz w:val="24"/>
                <w:szCs w:val="24"/>
              </w:rPr>
              <w:t>线位密封，防寒、防风、</w:t>
            </w:r>
            <w:r>
              <w:rPr>
                <w:rFonts w:ascii="宋体" w:hAnsi="宋体" w:eastAsia="宋体" w:cs="宋体"/>
                <w:sz w:val="24"/>
                <w:szCs w:val="24"/>
              </w:rPr>
              <w:t xml:space="preserve"> </w:t>
            </w:r>
            <w:r>
              <w:rPr>
                <w:rFonts w:ascii="宋体" w:hAnsi="宋体" w:eastAsia="宋体" w:cs="宋体"/>
                <w:spacing w:val="-2"/>
                <w:sz w:val="24"/>
                <w:szCs w:val="24"/>
              </w:rPr>
              <w:t>防水（5000mm）、透气</w:t>
            </w:r>
            <w:r>
              <w:rPr>
                <w:rFonts w:ascii="宋体" w:hAnsi="宋体" w:eastAsia="宋体" w:cs="宋体"/>
                <w:spacing w:val="-4"/>
                <w:sz w:val="24"/>
                <w:szCs w:val="24"/>
              </w:rPr>
              <w:t>性（5000g/m2/24h）强；</w:t>
            </w:r>
            <w:r>
              <w:rPr>
                <w:rFonts w:ascii="宋体" w:hAnsi="宋体" w:eastAsia="宋体" w:cs="宋体"/>
                <w:spacing w:val="13"/>
                <w:sz w:val="24"/>
                <w:szCs w:val="24"/>
              </w:rPr>
              <w:t xml:space="preserve"> </w:t>
            </w:r>
            <w:r>
              <w:rPr>
                <w:rFonts w:ascii="宋体" w:hAnsi="宋体" w:eastAsia="宋体" w:cs="宋体"/>
                <w:spacing w:val="-5"/>
                <w:sz w:val="24"/>
                <w:szCs w:val="24"/>
              </w:rPr>
              <w:t>克重不少于</w:t>
            </w:r>
            <w:r>
              <w:rPr>
                <w:rFonts w:ascii="宋体" w:hAnsi="宋体" w:eastAsia="宋体" w:cs="宋体"/>
                <w:spacing w:val="-30"/>
                <w:sz w:val="24"/>
                <w:szCs w:val="24"/>
              </w:rPr>
              <w:t xml:space="preserve"> </w:t>
            </w:r>
            <w:r>
              <w:rPr>
                <w:rFonts w:ascii="宋体" w:hAnsi="宋体" w:eastAsia="宋体" w:cs="宋体"/>
                <w:spacing w:val="-5"/>
                <w:sz w:val="24"/>
                <w:szCs w:val="24"/>
              </w:rPr>
              <w:t>140g/㎡。</w:t>
            </w:r>
            <w:r>
              <w:rPr>
                <w:rFonts w:ascii="宋体" w:hAnsi="宋体" w:eastAsia="宋体" w:cs="宋体"/>
                <w:spacing w:val="-1"/>
                <w:sz w:val="24"/>
                <w:szCs w:val="24"/>
              </w:rPr>
              <w:t>颜色要求:采用绣红色</w:t>
            </w:r>
            <w:r>
              <w:rPr>
                <w:rFonts w:ascii="宋体" w:hAnsi="宋体" w:eastAsia="宋体" w:cs="宋体"/>
                <w:sz w:val="24"/>
                <w:szCs w:val="24"/>
              </w:rPr>
              <w:t xml:space="preserve">  </w:t>
            </w:r>
            <w:r>
              <w:rPr>
                <w:rFonts w:ascii="宋体" w:hAnsi="宋体" w:eastAsia="宋体" w:cs="宋体"/>
                <w:spacing w:val="-2"/>
                <w:sz w:val="24"/>
                <w:szCs w:val="24"/>
              </w:rPr>
              <w:t>（哈佛红）和藏青色搭</w:t>
            </w:r>
            <w:r>
              <w:rPr>
                <w:rFonts w:ascii="宋体" w:hAnsi="宋体" w:eastAsia="宋体" w:cs="宋体"/>
                <w:sz w:val="24"/>
                <w:szCs w:val="24"/>
              </w:rPr>
              <w:t xml:space="preserve"> </w:t>
            </w:r>
            <w:r>
              <w:rPr>
                <w:rFonts w:ascii="宋体" w:hAnsi="宋体" w:eastAsia="宋体" w:cs="宋体"/>
                <w:spacing w:val="-1"/>
                <w:sz w:val="24"/>
                <w:szCs w:val="24"/>
              </w:rPr>
              <w:t>配，颜色应符合《中国</w:t>
            </w:r>
            <w:r>
              <w:rPr>
                <w:rFonts w:ascii="宋体" w:hAnsi="宋体" w:eastAsia="宋体" w:cs="宋体"/>
                <w:sz w:val="24"/>
                <w:szCs w:val="24"/>
              </w:rPr>
              <w:t xml:space="preserve"> </w:t>
            </w:r>
            <w:r>
              <w:rPr>
                <w:rFonts w:ascii="宋体" w:hAnsi="宋体" w:eastAsia="宋体" w:cs="宋体"/>
                <w:spacing w:val="-1"/>
                <w:sz w:val="24"/>
                <w:szCs w:val="24"/>
              </w:rPr>
              <w:t>卫生应急服装技术规范</w:t>
            </w:r>
            <w:r>
              <w:rPr>
                <w:rFonts w:ascii="宋体" w:hAnsi="宋体" w:eastAsia="宋体" w:cs="宋体"/>
                <w:sz w:val="24"/>
                <w:szCs w:val="24"/>
              </w:rPr>
              <w:t xml:space="preserve"> </w:t>
            </w:r>
            <w:r>
              <w:rPr>
                <w:rFonts w:ascii="宋体" w:hAnsi="宋体" w:eastAsia="宋体" w:cs="宋体"/>
                <w:spacing w:val="-4"/>
                <w:sz w:val="24"/>
                <w:szCs w:val="24"/>
              </w:rPr>
              <w:t>(试行)》相关规定。</w:t>
            </w:r>
          </w:p>
        </w:tc>
      </w:tr>
      <w:tr w14:paraId="57BD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shd w:val="clear" w:color="auto" w:fill="auto"/>
            <w:vAlign w:val="top"/>
          </w:tcPr>
          <w:p w14:paraId="19495AA0">
            <w:pPr>
              <w:pStyle w:val="31"/>
              <w:spacing w:line="271" w:lineRule="auto"/>
            </w:pPr>
          </w:p>
          <w:p w14:paraId="6A26F49E">
            <w:pPr>
              <w:pStyle w:val="31"/>
              <w:spacing w:line="271" w:lineRule="auto"/>
            </w:pPr>
          </w:p>
          <w:p w14:paraId="14783D4F">
            <w:pPr>
              <w:pStyle w:val="31"/>
              <w:spacing w:line="272" w:lineRule="auto"/>
            </w:pPr>
          </w:p>
          <w:p w14:paraId="3A3AC700">
            <w:pPr>
              <w:spacing w:before="78" w:line="220" w:lineRule="auto"/>
              <w:ind w:left="126" w:leftChars="0"/>
              <w:rPr>
                <w:rFonts w:hint="default" w:ascii="宋体" w:hAnsi="宋体" w:eastAsia="宋体" w:cs="宋体"/>
                <w:kern w:val="2"/>
                <w:sz w:val="24"/>
                <w:szCs w:val="24"/>
                <w:lang w:val="en-US" w:eastAsia="zh-CN" w:bidi="ar-SA"/>
              </w:rPr>
            </w:pPr>
            <w:r>
              <w:rPr>
                <w:rFonts w:ascii="宋体" w:hAnsi="宋体" w:eastAsia="宋体" w:cs="宋体"/>
                <w:spacing w:val="-6"/>
                <w:sz w:val="24"/>
                <w:szCs w:val="24"/>
              </w:rPr>
              <w:t>单裤</w:t>
            </w:r>
          </w:p>
        </w:tc>
        <w:tc>
          <w:tcPr>
            <w:tcW w:w="902" w:type="dxa"/>
            <w:shd w:val="clear" w:color="auto" w:fill="auto"/>
            <w:vAlign w:val="top"/>
          </w:tcPr>
          <w:p w14:paraId="252B9845">
            <w:pPr>
              <w:pStyle w:val="31"/>
              <w:spacing w:line="271" w:lineRule="auto"/>
            </w:pPr>
          </w:p>
          <w:p w14:paraId="117CF874">
            <w:pPr>
              <w:pStyle w:val="31"/>
              <w:spacing w:line="271" w:lineRule="auto"/>
            </w:pPr>
          </w:p>
          <w:p w14:paraId="34DADF62">
            <w:pPr>
              <w:pStyle w:val="31"/>
              <w:spacing w:line="272" w:lineRule="auto"/>
            </w:pPr>
          </w:p>
          <w:p w14:paraId="5DF649DF">
            <w:pPr>
              <w:pStyle w:val="31"/>
              <w:spacing w:line="272" w:lineRule="auto"/>
            </w:pPr>
          </w:p>
          <w:p w14:paraId="55CEEFAD">
            <w:pPr>
              <w:spacing w:before="78" w:line="220" w:lineRule="auto"/>
              <w:ind w:left="115" w:leftChars="0"/>
              <w:rPr>
                <w:rFonts w:hint="default" w:ascii="宋体" w:hAnsi="宋体" w:eastAsia="宋体" w:cs="宋体"/>
                <w:kern w:val="2"/>
                <w:sz w:val="24"/>
                <w:szCs w:val="24"/>
                <w:lang w:val="en-US" w:eastAsia="zh-CN" w:bidi="ar-SA"/>
              </w:rPr>
            </w:pPr>
            <w:r>
              <w:rPr>
                <w:rFonts w:ascii="宋体" w:hAnsi="宋体" w:eastAsia="宋体" w:cs="宋体"/>
                <w:sz w:val="24"/>
                <w:szCs w:val="24"/>
              </w:rPr>
              <w:t>条</w:t>
            </w:r>
          </w:p>
        </w:tc>
        <w:tc>
          <w:tcPr>
            <w:tcW w:w="1335" w:type="dxa"/>
            <w:shd w:val="clear" w:color="auto" w:fill="auto"/>
            <w:vAlign w:val="top"/>
          </w:tcPr>
          <w:p w14:paraId="58F6B37C">
            <w:pPr>
              <w:spacing w:before="47" w:line="3034" w:lineRule="exact"/>
              <w:ind w:firstLine="405" w:firstLineChars="0"/>
              <w:rPr>
                <w:rFonts w:hint="default" w:asciiTheme="minorHAnsi" w:hAnsiTheme="minorHAnsi" w:eastAsiaTheme="minorEastAsia" w:cstheme="minorBidi"/>
                <w:kern w:val="2"/>
                <w:sz w:val="21"/>
                <w:szCs w:val="24"/>
                <w:lang w:val="en-US" w:eastAsia="zh-CN" w:bidi="ar-SA"/>
              </w:rPr>
            </w:pPr>
            <w:r>
              <w:rPr>
                <w:position w:val="-60"/>
              </w:rPr>
              <w:drawing>
                <wp:anchor distT="0" distB="0" distL="0" distR="0" simplePos="0" relativeHeight="251661312" behindDoc="0" locked="0" layoutInCell="1" allowOverlap="1">
                  <wp:simplePos x="0" y="0"/>
                  <wp:positionH relativeFrom="column">
                    <wp:posOffset>-6350</wp:posOffset>
                  </wp:positionH>
                  <wp:positionV relativeFrom="paragraph">
                    <wp:posOffset>46990</wp:posOffset>
                  </wp:positionV>
                  <wp:extent cx="925830" cy="1926590"/>
                  <wp:effectExtent l="0" t="0" r="7620" b="16510"/>
                  <wp:wrapNone/>
                  <wp:docPr id="8" name="IM 6"/>
                  <wp:cNvGraphicFramePr/>
                  <a:graphic xmlns:a="http://schemas.openxmlformats.org/drawingml/2006/main">
                    <a:graphicData uri="http://schemas.openxmlformats.org/drawingml/2006/picture">
                      <pic:pic xmlns:pic="http://schemas.openxmlformats.org/drawingml/2006/picture">
                        <pic:nvPicPr>
                          <pic:cNvPr id="8" name="IM 6"/>
                          <pic:cNvPicPr/>
                        </pic:nvPicPr>
                        <pic:blipFill>
                          <a:blip r:embed="rId10"/>
                          <a:stretch>
                            <a:fillRect/>
                          </a:stretch>
                        </pic:blipFill>
                        <pic:spPr>
                          <a:xfrm>
                            <a:off x="0" y="0"/>
                            <a:ext cx="926464" cy="1926590"/>
                          </a:xfrm>
                          <a:prstGeom prst="rect">
                            <a:avLst/>
                          </a:prstGeom>
                        </pic:spPr>
                      </pic:pic>
                    </a:graphicData>
                  </a:graphic>
                </wp:anchor>
              </w:drawing>
            </w:r>
          </w:p>
        </w:tc>
        <w:tc>
          <w:tcPr>
            <w:tcW w:w="6385" w:type="dxa"/>
            <w:shd w:val="clear" w:color="auto" w:fill="auto"/>
            <w:vAlign w:val="top"/>
          </w:tcPr>
          <w:p w14:paraId="0B144E5D">
            <w:pPr>
              <w:pStyle w:val="31"/>
              <w:spacing w:line="276" w:lineRule="auto"/>
            </w:pPr>
          </w:p>
          <w:p w14:paraId="67B3A787">
            <w:pPr>
              <w:spacing w:before="21" w:line="238" w:lineRule="auto"/>
              <w:ind w:left="112" w:right="25"/>
              <w:rPr>
                <w:rFonts w:ascii="宋体" w:hAnsi="宋体" w:eastAsia="宋体" w:cs="宋体"/>
                <w:spacing w:val="-5"/>
                <w:sz w:val="24"/>
                <w:szCs w:val="24"/>
              </w:rPr>
            </w:pPr>
            <w:r>
              <w:rPr>
                <w:rFonts w:ascii="宋体" w:hAnsi="宋体" w:eastAsia="宋体" w:cs="宋体"/>
                <w:spacing w:val="-5"/>
                <w:sz w:val="24"/>
                <w:szCs w:val="24"/>
              </w:rPr>
              <w:t>表层：100%锦纶短纤维塔丝龙 牛津布，颜色藏青色；表面防 水处理，背面复合乳白色防水 透湿 TPU 膜；耐静水压≥</w:t>
            </w:r>
          </w:p>
          <w:p w14:paraId="7E34ABD8">
            <w:pPr>
              <w:spacing w:before="21" w:line="238" w:lineRule="auto"/>
              <w:ind w:left="112" w:right="25"/>
              <w:rPr>
                <w:rFonts w:hint="default" w:ascii="黑体" w:hAnsi="黑体" w:eastAsia="黑体" w:cs="黑体"/>
                <w:kern w:val="2"/>
                <w:sz w:val="21"/>
                <w:szCs w:val="21"/>
                <w:lang w:val="en-US" w:eastAsia="zh-CN" w:bidi="ar-SA"/>
              </w:rPr>
            </w:pPr>
            <w:r>
              <w:rPr>
                <w:rFonts w:ascii="宋体" w:hAnsi="宋体" w:eastAsia="宋体" w:cs="宋体"/>
                <w:spacing w:val="-5"/>
                <w:sz w:val="24"/>
                <w:szCs w:val="24"/>
              </w:rPr>
              <w:t>50kPa/min 透湿量≥ 5000g/(㎡ ·d)内里：100% 消光长丝、涤丝 网眼布。克重 55g/㎡</w:t>
            </w:r>
          </w:p>
        </w:tc>
      </w:tr>
      <w:tr w14:paraId="57EE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31" w:type="dxa"/>
            <w:vAlign w:val="top"/>
          </w:tcPr>
          <w:p w14:paraId="7D458169">
            <w:pPr>
              <w:pStyle w:val="31"/>
              <w:spacing w:line="270" w:lineRule="auto"/>
            </w:pPr>
          </w:p>
          <w:p w14:paraId="6C6A8BE8">
            <w:pPr>
              <w:pStyle w:val="31"/>
              <w:spacing w:line="270" w:lineRule="auto"/>
            </w:pPr>
          </w:p>
          <w:p w14:paraId="009C322F">
            <w:pPr>
              <w:pStyle w:val="31"/>
              <w:spacing w:line="270" w:lineRule="auto"/>
            </w:pPr>
          </w:p>
          <w:p w14:paraId="120F2B43">
            <w:pPr>
              <w:pStyle w:val="31"/>
              <w:spacing w:line="270" w:lineRule="auto"/>
            </w:pPr>
          </w:p>
          <w:p w14:paraId="51DB75DF">
            <w:pPr>
              <w:pStyle w:val="31"/>
              <w:spacing w:line="270" w:lineRule="auto"/>
            </w:pPr>
          </w:p>
          <w:p w14:paraId="54A7FE9E">
            <w:pPr>
              <w:pStyle w:val="31"/>
              <w:spacing w:line="270" w:lineRule="auto"/>
            </w:pPr>
          </w:p>
          <w:p w14:paraId="544D38F1">
            <w:pPr>
              <w:spacing w:before="78" w:line="220" w:lineRule="auto"/>
              <w:ind w:left="124" w:leftChars="0"/>
              <w:rPr>
                <w:rFonts w:hint="default" w:ascii="仿宋" w:hAnsi="仿宋" w:eastAsia="仿宋" w:cs="仿宋"/>
                <w:sz w:val="32"/>
                <w:szCs w:val="32"/>
                <w:vertAlign w:val="baseline"/>
                <w:lang w:val="en-US" w:eastAsia="zh-CN"/>
              </w:rPr>
            </w:pPr>
            <w:r>
              <w:rPr>
                <w:rFonts w:ascii="宋体" w:hAnsi="宋体" w:eastAsia="宋体" w:cs="宋体"/>
                <w:spacing w:val="-3"/>
                <w:sz w:val="24"/>
                <w:szCs w:val="24"/>
              </w:rPr>
              <w:t>衬衣</w:t>
            </w:r>
          </w:p>
        </w:tc>
        <w:tc>
          <w:tcPr>
            <w:tcW w:w="902" w:type="dxa"/>
            <w:vAlign w:val="top"/>
          </w:tcPr>
          <w:p w14:paraId="11205F22">
            <w:pPr>
              <w:pStyle w:val="31"/>
              <w:spacing w:line="270" w:lineRule="auto"/>
            </w:pPr>
          </w:p>
          <w:p w14:paraId="1807BBEA">
            <w:pPr>
              <w:pStyle w:val="31"/>
              <w:spacing w:line="270" w:lineRule="auto"/>
            </w:pPr>
            <w:r>
              <w:rPr>
                <w:position w:val="-31"/>
              </w:rPr>
              <w:drawing>
                <wp:anchor distT="0" distB="0" distL="0" distR="0" simplePos="0" relativeHeight="251662336" behindDoc="0" locked="0" layoutInCell="1" allowOverlap="1">
                  <wp:simplePos x="0" y="0"/>
                  <wp:positionH relativeFrom="column">
                    <wp:posOffset>474980</wp:posOffset>
                  </wp:positionH>
                  <wp:positionV relativeFrom="paragraph">
                    <wp:posOffset>120650</wp:posOffset>
                  </wp:positionV>
                  <wp:extent cx="925830" cy="996950"/>
                  <wp:effectExtent l="0" t="0" r="7620" b="12700"/>
                  <wp:wrapNone/>
                  <wp:docPr id="11" name="IM 8"/>
                  <wp:cNvGraphicFramePr/>
                  <a:graphic xmlns:a="http://schemas.openxmlformats.org/drawingml/2006/main">
                    <a:graphicData uri="http://schemas.openxmlformats.org/drawingml/2006/picture">
                      <pic:pic xmlns:pic="http://schemas.openxmlformats.org/drawingml/2006/picture">
                        <pic:nvPicPr>
                          <pic:cNvPr id="11" name="IM 8"/>
                          <pic:cNvPicPr/>
                        </pic:nvPicPr>
                        <pic:blipFill>
                          <a:blip r:embed="rId11"/>
                          <a:stretch>
                            <a:fillRect/>
                          </a:stretch>
                        </pic:blipFill>
                        <pic:spPr>
                          <a:xfrm>
                            <a:off x="0" y="0"/>
                            <a:ext cx="926464" cy="996950"/>
                          </a:xfrm>
                          <a:prstGeom prst="rect">
                            <a:avLst/>
                          </a:prstGeom>
                        </pic:spPr>
                      </pic:pic>
                    </a:graphicData>
                  </a:graphic>
                </wp:anchor>
              </w:drawing>
            </w:r>
          </w:p>
          <w:p w14:paraId="7FB62570">
            <w:pPr>
              <w:pStyle w:val="31"/>
              <w:spacing w:line="270" w:lineRule="auto"/>
            </w:pPr>
          </w:p>
          <w:p w14:paraId="500BBE8D">
            <w:pPr>
              <w:pStyle w:val="31"/>
              <w:spacing w:line="270" w:lineRule="auto"/>
            </w:pPr>
          </w:p>
          <w:p w14:paraId="53E30004">
            <w:pPr>
              <w:pStyle w:val="31"/>
              <w:spacing w:line="270" w:lineRule="auto"/>
            </w:pPr>
          </w:p>
          <w:p w14:paraId="07E8784E">
            <w:pPr>
              <w:pStyle w:val="31"/>
              <w:spacing w:line="270" w:lineRule="auto"/>
            </w:pPr>
          </w:p>
          <w:p w14:paraId="27A5F955">
            <w:pPr>
              <w:spacing w:before="78" w:line="220" w:lineRule="auto"/>
              <w:ind w:left="112" w:leftChars="0"/>
              <w:rPr>
                <w:rFonts w:hint="default" w:ascii="仿宋" w:hAnsi="仿宋" w:eastAsia="仿宋" w:cs="仿宋"/>
                <w:sz w:val="32"/>
                <w:szCs w:val="32"/>
                <w:vertAlign w:val="baseline"/>
                <w:lang w:val="en-US" w:eastAsia="zh-CN"/>
              </w:rPr>
            </w:pPr>
            <w:r>
              <w:rPr>
                <w:rFonts w:ascii="宋体" w:hAnsi="宋体" w:eastAsia="宋体" w:cs="宋体"/>
                <w:sz w:val="24"/>
                <w:szCs w:val="24"/>
              </w:rPr>
              <w:t>件</w:t>
            </w:r>
          </w:p>
        </w:tc>
        <w:tc>
          <w:tcPr>
            <w:tcW w:w="1335" w:type="dxa"/>
            <w:vAlign w:val="top"/>
          </w:tcPr>
          <w:p w14:paraId="641BA989">
            <w:pPr>
              <w:pStyle w:val="31"/>
              <w:spacing w:line="258" w:lineRule="auto"/>
            </w:pPr>
          </w:p>
          <w:p w14:paraId="73F47E64">
            <w:pPr>
              <w:pStyle w:val="31"/>
              <w:spacing w:line="258" w:lineRule="auto"/>
            </w:pPr>
          </w:p>
          <w:p w14:paraId="60E1C647">
            <w:pPr>
              <w:pStyle w:val="31"/>
              <w:spacing w:line="259" w:lineRule="auto"/>
            </w:pPr>
          </w:p>
          <w:p w14:paraId="2C4DD6F9">
            <w:pPr>
              <w:pStyle w:val="31"/>
              <w:spacing w:line="259" w:lineRule="auto"/>
            </w:pPr>
          </w:p>
          <w:p w14:paraId="152CF461">
            <w:pPr>
              <w:spacing w:line="1570" w:lineRule="exact"/>
              <w:ind w:firstLine="405" w:firstLineChars="0"/>
              <w:rPr>
                <w:rFonts w:hint="default" w:ascii="仿宋" w:hAnsi="仿宋" w:eastAsia="仿宋" w:cs="仿宋"/>
                <w:sz w:val="32"/>
                <w:szCs w:val="32"/>
                <w:vertAlign w:val="baseline"/>
                <w:lang w:val="en-US" w:eastAsia="zh-CN"/>
              </w:rPr>
            </w:pPr>
          </w:p>
        </w:tc>
        <w:tc>
          <w:tcPr>
            <w:tcW w:w="6385" w:type="dxa"/>
            <w:vAlign w:val="top"/>
          </w:tcPr>
          <w:p w14:paraId="12DF7F4E">
            <w:pPr>
              <w:spacing w:before="21" w:line="238" w:lineRule="auto"/>
              <w:ind w:left="112" w:right="25"/>
              <w:rPr>
                <w:rFonts w:hint="default" w:ascii="仿宋" w:hAnsi="仿宋" w:eastAsia="仿宋" w:cs="仿宋"/>
                <w:sz w:val="32"/>
                <w:szCs w:val="32"/>
                <w:vertAlign w:val="baseline"/>
                <w:lang w:val="en-US" w:eastAsia="zh-CN"/>
              </w:rPr>
            </w:pPr>
            <w:r>
              <w:rPr>
                <w:rFonts w:ascii="宋体" w:hAnsi="宋体" w:eastAsia="宋体" w:cs="宋体"/>
                <w:spacing w:val="-5"/>
                <w:sz w:val="24"/>
                <w:szCs w:val="24"/>
              </w:rPr>
              <w:t>上衣：白色，面料：65%棉， 35%涤，舒适透气，吸汗性  好. (1)采用中国人民 JF 军 07 款陆夏常服款式；</w:t>
            </w:r>
            <w:r>
              <w:rPr>
                <w:rFonts w:ascii="宋体" w:hAnsi="宋体" w:eastAsia="宋体" w:cs="宋体"/>
                <w:spacing w:val="-9"/>
                <w:sz w:val="24"/>
                <w:szCs w:val="24"/>
              </w:rPr>
              <w:t>(2)袖子内增加宝剑袢，</w:t>
            </w:r>
            <w:r>
              <w:rPr>
                <w:rFonts w:ascii="宋体" w:hAnsi="宋体" w:eastAsia="宋体" w:cs="宋体"/>
                <w:spacing w:val="3"/>
                <w:sz w:val="24"/>
                <w:szCs w:val="24"/>
              </w:rPr>
              <w:t xml:space="preserve"> </w:t>
            </w:r>
            <w:r>
              <w:rPr>
                <w:rFonts w:ascii="宋体" w:hAnsi="宋体" w:eastAsia="宋体" w:cs="宋体"/>
                <w:spacing w:val="-4"/>
                <w:sz w:val="24"/>
                <w:szCs w:val="24"/>
              </w:rPr>
              <w:t>方便挽起做短袖穿着。</w:t>
            </w:r>
            <w:r>
              <w:rPr>
                <w:rFonts w:ascii="宋体" w:hAnsi="宋体" w:eastAsia="宋体" w:cs="宋体"/>
                <w:spacing w:val="-7"/>
                <w:sz w:val="24"/>
                <w:szCs w:val="24"/>
              </w:rPr>
              <w:t>(3)上臂有挂臂章的扣。</w:t>
            </w:r>
          </w:p>
        </w:tc>
      </w:tr>
      <w:tr w14:paraId="3090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vAlign w:val="top"/>
          </w:tcPr>
          <w:p w14:paraId="400B6BBE">
            <w:pPr>
              <w:pStyle w:val="31"/>
              <w:spacing w:line="296" w:lineRule="auto"/>
            </w:pPr>
          </w:p>
          <w:p w14:paraId="791699A7">
            <w:pPr>
              <w:pStyle w:val="31"/>
              <w:spacing w:line="296" w:lineRule="auto"/>
            </w:pPr>
          </w:p>
          <w:p w14:paraId="2FC2A6F1">
            <w:pPr>
              <w:pStyle w:val="31"/>
              <w:spacing w:line="296" w:lineRule="auto"/>
            </w:pPr>
          </w:p>
          <w:p w14:paraId="09C5B755">
            <w:pPr>
              <w:spacing w:before="78" w:line="236" w:lineRule="auto"/>
              <w:ind w:left="123" w:leftChars="0" w:right="126" w:rightChars="0"/>
              <w:jc w:val="both"/>
              <w:rPr>
                <w:rFonts w:hint="default" w:ascii="仿宋" w:hAnsi="仿宋" w:eastAsia="仿宋" w:cs="仿宋"/>
                <w:sz w:val="32"/>
                <w:szCs w:val="32"/>
                <w:vertAlign w:val="baseline"/>
                <w:lang w:val="en-US" w:eastAsia="zh-CN"/>
              </w:rPr>
            </w:pPr>
            <w:r>
              <w:rPr>
                <w:rFonts w:ascii="宋体" w:hAnsi="宋体" w:eastAsia="宋体" w:cs="宋体"/>
                <w:spacing w:val="-5"/>
                <w:sz w:val="24"/>
                <w:szCs w:val="24"/>
              </w:rPr>
              <w:t>速干</w:t>
            </w:r>
            <w:r>
              <w:rPr>
                <w:rFonts w:ascii="宋体" w:hAnsi="宋体" w:eastAsia="宋体" w:cs="宋体"/>
                <w:sz w:val="24"/>
                <w:szCs w:val="24"/>
              </w:rPr>
              <w:t xml:space="preserve"> </w:t>
            </w:r>
            <w:r>
              <w:rPr>
                <w:rFonts w:ascii="宋体" w:hAnsi="宋体" w:eastAsia="宋体" w:cs="宋体"/>
                <w:spacing w:val="-5"/>
                <w:sz w:val="24"/>
                <w:szCs w:val="24"/>
              </w:rPr>
              <w:t>白色</w:t>
            </w:r>
            <w:r>
              <w:rPr>
                <w:rFonts w:ascii="宋体" w:hAnsi="宋体" w:eastAsia="宋体" w:cs="宋体"/>
                <w:sz w:val="24"/>
                <w:szCs w:val="24"/>
              </w:rPr>
              <w:t xml:space="preserve"> </w:t>
            </w:r>
            <w:r>
              <w:rPr>
                <w:rFonts w:ascii="宋体" w:hAnsi="宋体" w:eastAsia="宋体" w:cs="宋体"/>
                <w:spacing w:val="8"/>
                <w:sz w:val="24"/>
                <w:szCs w:val="24"/>
              </w:rPr>
              <w:t>T</w:t>
            </w:r>
            <w:r>
              <w:rPr>
                <w:rFonts w:ascii="宋体" w:hAnsi="宋体" w:eastAsia="宋体" w:cs="宋体"/>
                <w:spacing w:val="-56"/>
                <w:sz w:val="24"/>
                <w:szCs w:val="24"/>
              </w:rPr>
              <w:t xml:space="preserve"> </w:t>
            </w:r>
            <w:r>
              <w:rPr>
                <w:rFonts w:ascii="宋体" w:hAnsi="宋体" w:eastAsia="宋体" w:cs="宋体"/>
                <w:spacing w:val="8"/>
                <w:sz w:val="24"/>
                <w:szCs w:val="24"/>
              </w:rPr>
              <w:t>恤</w:t>
            </w:r>
            <w:r>
              <w:rPr>
                <w:rFonts w:ascii="宋体" w:hAnsi="宋体" w:eastAsia="宋体" w:cs="宋体"/>
                <w:sz w:val="24"/>
                <w:szCs w:val="24"/>
              </w:rPr>
              <w:t xml:space="preserve"> </w:t>
            </w:r>
            <w:r>
              <w:rPr>
                <w:rFonts w:ascii="宋体" w:hAnsi="宋体" w:eastAsia="宋体" w:cs="宋体"/>
                <w:spacing w:val="-10"/>
                <w:sz w:val="24"/>
                <w:szCs w:val="24"/>
              </w:rPr>
              <w:t>（方</w:t>
            </w:r>
            <w:r>
              <w:rPr>
                <w:rFonts w:ascii="宋体" w:hAnsi="宋体" w:eastAsia="宋体" w:cs="宋体"/>
                <w:sz w:val="24"/>
                <w:szCs w:val="24"/>
              </w:rPr>
              <w:t xml:space="preserve"> </w:t>
            </w:r>
            <w:r>
              <w:rPr>
                <w:rFonts w:ascii="宋体" w:hAnsi="宋体" w:eastAsia="宋体" w:cs="宋体"/>
                <w:spacing w:val="-5"/>
                <w:sz w:val="24"/>
                <w:szCs w:val="24"/>
              </w:rPr>
              <w:t>领）</w:t>
            </w:r>
          </w:p>
        </w:tc>
        <w:tc>
          <w:tcPr>
            <w:tcW w:w="902" w:type="dxa"/>
            <w:vAlign w:val="top"/>
          </w:tcPr>
          <w:p w14:paraId="355EC949">
            <w:pPr>
              <w:pStyle w:val="31"/>
              <w:spacing w:line="251" w:lineRule="auto"/>
            </w:pPr>
            <w:r>
              <w:rPr>
                <w:position w:val="-36"/>
              </w:rPr>
              <w:drawing>
                <wp:anchor distT="0" distB="0" distL="0" distR="0" simplePos="0" relativeHeight="251663360" behindDoc="0" locked="0" layoutInCell="1" allowOverlap="1">
                  <wp:simplePos x="0" y="0"/>
                  <wp:positionH relativeFrom="column">
                    <wp:posOffset>121285</wp:posOffset>
                  </wp:positionH>
                  <wp:positionV relativeFrom="paragraph">
                    <wp:posOffset>31115</wp:posOffset>
                  </wp:positionV>
                  <wp:extent cx="1310005" cy="1173480"/>
                  <wp:effectExtent l="0" t="0" r="4445" b="7620"/>
                  <wp:wrapNone/>
                  <wp:docPr id="13" name="IM 10"/>
                  <wp:cNvGraphicFramePr/>
                  <a:graphic xmlns:a="http://schemas.openxmlformats.org/drawingml/2006/main">
                    <a:graphicData uri="http://schemas.openxmlformats.org/drawingml/2006/picture">
                      <pic:pic xmlns:pic="http://schemas.openxmlformats.org/drawingml/2006/picture">
                        <pic:nvPicPr>
                          <pic:cNvPr id="13" name="IM 10"/>
                          <pic:cNvPicPr/>
                        </pic:nvPicPr>
                        <pic:blipFill>
                          <a:blip r:embed="rId12"/>
                          <a:stretch>
                            <a:fillRect/>
                          </a:stretch>
                        </pic:blipFill>
                        <pic:spPr>
                          <a:xfrm>
                            <a:off x="0" y="0"/>
                            <a:ext cx="1310639" cy="1173480"/>
                          </a:xfrm>
                          <a:prstGeom prst="rect">
                            <a:avLst/>
                          </a:prstGeom>
                        </pic:spPr>
                      </pic:pic>
                    </a:graphicData>
                  </a:graphic>
                </wp:anchor>
              </w:drawing>
            </w:r>
          </w:p>
          <w:p w14:paraId="7DEDF2D2">
            <w:pPr>
              <w:pStyle w:val="31"/>
              <w:spacing w:line="251" w:lineRule="auto"/>
            </w:pPr>
          </w:p>
          <w:p w14:paraId="64E805DC">
            <w:pPr>
              <w:pStyle w:val="31"/>
              <w:spacing w:line="251" w:lineRule="auto"/>
            </w:pPr>
          </w:p>
          <w:p w14:paraId="3F27DA91">
            <w:pPr>
              <w:pStyle w:val="31"/>
              <w:spacing w:line="251" w:lineRule="auto"/>
            </w:pPr>
          </w:p>
          <w:p w14:paraId="403205B9">
            <w:pPr>
              <w:pStyle w:val="31"/>
              <w:spacing w:line="251" w:lineRule="auto"/>
            </w:pPr>
          </w:p>
          <w:p w14:paraId="0D3C377E">
            <w:pPr>
              <w:pStyle w:val="31"/>
              <w:spacing w:line="252" w:lineRule="auto"/>
            </w:pPr>
          </w:p>
          <w:p w14:paraId="2A6A0D96">
            <w:pPr>
              <w:spacing w:before="78" w:line="220" w:lineRule="auto"/>
              <w:ind w:left="112" w:leftChars="0"/>
              <w:rPr>
                <w:rFonts w:hint="default" w:ascii="仿宋" w:hAnsi="仿宋" w:eastAsia="仿宋" w:cs="仿宋"/>
                <w:sz w:val="32"/>
                <w:szCs w:val="32"/>
                <w:vertAlign w:val="baseline"/>
                <w:lang w:val="en-US" w:eastAsia="zh-CN"/>
              </w:rPr>
            </w:pPr>
            <w:r>
              <w:rPr>
                <w:rFonts w:ascii="宋体" w:hAnsi="宋体" w:eastAsia="宋体" w:cs="宋体"/>
                <w:sz w:val="24"/>
                <w:szCs w:val="24"/>
              </w:rPr>
              <w:t>件</w:t>
            </w:r>
          </w:p>
        </w:tc>
        <w:tc>
          <w:tcPr>
            <w:tcW w:w="1335" w:type="dxa"/>
            <w:vAlign w:val="top"/>
          </w:tcPr>
          <w:p w14:paraId="05F7F26A">
            <w:pPr>
              <w:pStyle w:val="31"/>
              <w:spacing w:line="262" w:lineRule="auto"/>
            </w:pPr>
          </w:p>
          <w:p w14:paraId="1BDB6BA7">
            <w:pPr>
              <w:pStyle w:val="31"/>
              <w:spacing w:line="262" w:lineRule="auto"/>
            </w:pPr>
          </w:p>
          <w:p w14:paraId="40C98A86">
            <w:pPr>
              <w:pStyle w:val="31"/>
              <w:spacing w:line="262" w:lineRule="auto"/>
            </w:pPr>
          </w:p>
          <w:p w14:paraId="3034D980">
            <w:pPr>
              <w:spacing w:line="1848" w:lineRule="exact"/>
              <w:ind w:firstLine="103" w:firstLineChars="0"/>
              <w:rPr>
                <w:rFonts w:hint="default" w:ascii="仿宋" w:hAnsi="仿宋" w:eastAsia="仿宋" w:cs="仿宋"/>
                <w:sz w:val="32"/>
                <w:szCs w:val="32"/>
                <w:vertAlign w:val="baseline"/>
                <w:lang w:val="en-US" w:eastAsia="zh-CN"/>
              </w:rPr>
            </w:pPr>
          </w:p>
        </w:tc>
        <w:tc>
          <w:tcPr>
            <w:tcW w:w="6385" w:type="dxa"/>
            <w:vAlign w:val="top"/>
          </w:tcPr>
          <w:p w14:paraId="0918E2A5">
            <w:pPr>
              <w:spacing w:before="34" w:line="221" w:lineRule="auto"/>
              <w:ind w:left="131"/>
              <w:rPr>
                <w:rFonts w:ascii="宋体" w:hAnsi="宋体" w:eastAsia="宋体" w:cs="宋体"/>
                <w:sz w:val="24"/>
                <w:szCs w:val="24"/>
              </w:rPr>
            </w:pPr>
            <w:r>
              <w:rPr>
                <w:rFonts w:ascii="宋体" w:hAnsi="宋体" w:eastAsia="宋体" w:cs="宋体"/>
                <w:spacing w:val="-4"/>
                <w:sz w:val="24"/>
                <w:szCs w:val="24"/>
              </w:rPr>
              <w:t>1、颜色：白色</w:t>
            </w:r>
          </w:p>
          <w:p w14:paraId="7E7A6473">
            <w:pPr>
              <w:spacing w:before="25" w:line="233" w:lineRule="auto"/>
              <w:ind w:left="165" w:right="122" w:hanging="49"/>
              <w:rPr>
                <w:rFonts w:ascii="宋体" w:hAnsi="宋体" w:eastAsia="宋体" w:cs="宋体"/>
                <w:sz w:val="24"/>
                <w:szCs w:val="24"/>
              </w:rPr>
            </w:pPr>
            <w:r>
              <w:rPr>
                <w:rFonts w:ascii="宋体" w:hAnsi="宋体" w:eastAsia="宋体" w:cs="宋体"/>
                <w:spacing w:val="-4"/>
                <w:sz w:val="24"/>
                <w:szCs w:val="24"/>
              </w:rPr>
              <w:t>2、高科技速干面料拥有</w:t>
            </w:r>
            <w:r>
              <w:rPr>
                <w:rFonts w:ascii="宋体" w:hAnsi="宋体" w:eastAsia="宋体" w:cs="宋体"/>
                <w:spacing w:val="8"/>
                <w:sz w:val="24"/>
                <w:szCs w:val="24"/>
              </w:rPr>
              <w:t xml:space="preserve"> </w:t>
            </w:r>
            <w:r>
              <w:rPr>
                <w:rFonts w:ascii="宋体" w:hAnsi="宋体" w:eastAsia="宋体" w:cs="宋体"/>
                <w:spacing w:val="-1"/>
                <w:sz w:val="24"/>
                <w:szCs w:val="24"/>
              </w:rPr>
              <w:t>高吸水性，快干，快速</w:t>
            </w:r>
            <w:r>
              <w:rPr>
                <w:rFonts w:ascii="宋体" w:hAnsi="宋体" w:eastAsia="宋体" w:cs="宋体"/>
                <w:sz w:val="24"/>
                <w:szCs w:val="24"/>
              </w:rPr>
              <w:t xml:space="preserve"> </w:t>
            </w:r>
            <w:r>
              <w:rPr>
                <w:rFonts w:ascii="宋体" w:hAnsi="宋体" w:eastAsia="宋体" w:cs="宋体"/>
                <w:spacing w:val="-4"/>
                <w:sz w:val="24"/>
                <w:szCs w:val="24"/>
              </w:rPr>
              <w:t>排汗，适合户外作业。</w:t>
            </w:r>
          </w:p>
          <w:p w14:paraId="07E91034">
            <w:pPr>
              <w:spacing w:before="28" w:line="229" w:lineRule="auto"/>
              <w:ind w:left="412" w:right="153" w:hanging="270"/>
              <w:rPr>
                <w:rFonts w:ascii="宋体" w:hAnsi="宋体" w:eastAsia="宋体" w:cs="宋体"/>
                <w:sz w:val="24"/>
                <w:szCs w:val="24"/>
              </w:rPr>
            </w:pPr>
            <w:r>
              <w:rPr>
                <w:rFonts w:ascii="宋体" w:hAnsi="宋体" w:eastAsia="宋体" w:cs="宋体"/>
                <w:spacing w:val="-4"/>
                <w:sz w:val="24"/>
                <w:szCs w:val="24"/>
              </w:rPr>
              <w:t>3、缝纫针距</w:t>
            </w:r>
            <w:r>
              <w:rPr>
                <w:rFonts w:ascii="宋体" w:hAnsi="宋体" w:eastAsia="宋体" w:cs="宋体"/>
                <w:spacing w:val="-40"/>
                <w:sz w:val="24"/>
                <w:szCs w:val="24"/>
              </w:rPr>
              <w:t xml:space="preserve"> </w:t>
            </w:r>
            <w:r>
              <w:rPr>
                <w:rFonts w:ascii="宋体" w:hAnsi="宋体" w:eastAsia="宋体" w:cs="宋体"/>
                <w:spacing w:val="-4"/>
                <w:sz w:val="24"/>
                <w:szCs w:val="24"/>
              </w:rPr>
              <w:t>0.2mm，比</w:t>
            </w:r>
            <w:r>
              <w:rPr>
                <w:rFonts w:ascii="宋体" w:hAnsi="宋体" w:eastAsia="宋体" w:cs="宋体"/>
                <w:sz w:val="24"/>
                <w:szCs w:val="24"/>
              </w:rPr>
              <w:t xml:space="preserve"> </w:t>
            </w:r>
            <w:r>
              <w:rPr>
                <w:rFonts w:ascii="宋体" w:hAnsi="宋体" w:eastAsia="宋体" w:cs="宋体"/>
                <w:spacing w:val="-6"/>
                <w:sz w:val="24"/>
                <w:szCs w:val="24"/>
              </w:rPr>
              <w:t>市面上的更精致。</w:t>
            </w:r>
          </w:p>
          <w:p w14:paraId="3C46CCE0">
            <w:pPr>
              <w:spacing w:before="27" w:line="230" w:lineRule="auto"/>
              <w:ind w:left="113" w:right="40" w:hanging="1"/>
              <w:rPr>
                <w:rFonts w:ascii="宋体" w:hAnsi="宋体" w:eastAsia="宋体" w:cs="宋体"/>
                <w:sz w:val="24"/>
                <w:szCs w:val="24"/>
              </w:rPr>
            </w:pPr>
            <w:r>
              <w:rPr>
                <w:rFonts w:ascii="宋体" w:hAnsi="宋体" w:eastAsia="宋体" w:cs="宋体"/>
                <w:spacing w:val="-18"/>
                <w:sz w:val="24"/>
                <w:szCs w:val="24"/>
              </w:rPr>
              <w:t>4、面料成分：</w:t>
            </w:r>
            <w:r>
              <w:rPr>
                <w:rFonts w:ascii="宋体" w:hAnsi="宋体" w:eastAsia="宋体" w:cs="宋体"/>
                <w:spacing w:val="-57"/>
                <w:sz w:val="24"/>
                <w:szCs w:val="24"/>
              </w:rPr>
              <w:t xml:space="preserve"> </w:t>
            </w:r>
            <w:r>
              <w:rPr>
                <w:rFonts w:ascii="宋体" w:hAnsi="宋体" w:eastAsia="宋体" w:cs="宋体"/>
                <w:spacing w:val="-18"/>
                <w:sz w:val="24"/>
                <w:szCs w:val="24"/>
              </w:rPr>
              <w:t>100%涤纶；</w:t>
            </w:r>
            <w:r>
              <w:rPr>
                <w:rFonts w:ascii="宋体" w:hAnsi="宋体" w:eastAsia="宋体" w:cs="宋体"/>
                <w:sz w:val="24"/>
                <w:szCs w:val="24"/>
              </w:rPr>
              <w:t xml:space="preserve"> </w:t>
            </w:r>
            <w:r>
              <w:rPr>
                <w:rFonts w:ascii="宋体" w:hAnsi="宋体" w:eastAsia="宋体" w:cs="宋体"/>
                <w:spacing w:val="-2"/>
                <w:sz w:val="24"/>
                <w:szCs w:val="24"/>
              </w:rPr>
              <w:t>面料克重：180</w:t>
            </w:r>
            <w:r>
              <w:rPr>
                <w:rFonts w:ascii="宋体" w:hAnsi="宋体" w:eastAsia="宋体" w:cs="宋体"/>
                <w:spacing w:val="-41"/>
                <w:sz w:val="24"/>
                <w:szCs w:val="24"/>
              </w:rPr>
              <w:t xml:space="preserve"> </w:t>
            </w:r>
            <w:r>
              <w:rPr>
                <w:rFonts w:ascii="宋体" w:hAnsi="宋体" w:eastAsia="宋体" w:cs="宋体"/>
                <w:spacing w:val="-2"/>
                <w:sz w:val="24"/>
                <w:szCs w:val="24"/>
              </w:rPr>
              <w:t>克</w:t>
            </w:r>
          </w:p>
          <w:p w14:paraId="6B516014">
            <w:pPr>
              <w:spacing w:before="26" w:line="230" w:lineRule="auto"/>
              <w:ind w:left="114" w:right="131" w:firstLine="3"/>
              <w:rPr>
                <w:rFonts w:hint="default" w:ascii="仿宋" w:hAnsi="仿宋" w:eastAsia="仿宋" w:cs="仿宋"/>
                <w:sz w:val="32"/>
                <w:szCs w:val="32"/>
                <w:vertAlign w:val="baseline"/>
                <w:lang w:val="en-US" w:eastAsia="zh-CN"/>
              </w:rPr>
            </w:pPr>
            <w:r>
              <w:rPr>
                <w:rFonts w:ascii="宋体" w:hAnsi="宋体" w:eastAsia="宋体" w:cs="宋体"/>
                <w:spacing w:val="-5"/>
                <w:sz w:val="24"/>
                <w:szCs w:val="24"/>
              </w:rPr>
              <w:t>5、胸前和左袖口分别印</w:t>
            </w:r>
            <w:r>
              <w:rPr>
                <w:rFonts w:ascii="宋体" w:hAnsi="宋体" w:eastAsia="宋体" w:cs="宋体"/>
                <w:spacing w:val="8"/>
                <w:sz w:val="24"/>
                <w:szCs w:val="24"/>
              </w:rPr>
              <w:t xml:space="preserve"> </w:t>
            </w:r>
            <w:r>
              <w:rPr>
                <w:rFonts w:ascii="宋体" w:hAnsi="宋体" w:eastAsia="宋体" w:cs="宋体"/>
                <w:spacing w:val="-2"/>
                <w:sz w:val="24"/>
                <w:szCs w:val="24"/>
              </w:rPr>
              <w:t>有中国卫生和国旗标</w:t>
            </w:r>
            <w:r>
              <w:rPr>
                <w:rFonts w:ascii="宋体" w:hAnsi="宋体" w:eastAsia="宋体" w:cs="宋体"/>
                <w:spacing w:val="-12"/>
                <w:sz w:val="24"/>
                <w:szCs w:val="24"/>
              </w:rPr>
              <w:t>书。</w:t>
            </w:r>
          </w:p>
        </w:tc>
      </w:tr>
      <w:tr w14:paraId="74BA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vAlign w:val="top"/>
          </w:tcPr>
          <w:p w14:paraId="43A8E0FB">
            <w:pPr>
              <w:pStyle w:val="31"/>
              <w:spacing w:line="261" w:lineRule="auto"/>
            </w:pPr>
          </w:p>
          <w:p w14:paraId="164A18C5">
            <w:pPr>
              <w:spacing w:before="78" w:line="237" w:lineRule="auto"/>
              <w:ind w:left="123" w:leftChars="0" w:right="126" w:rightChars="0"/>
              <w:jc w:val="both"/>
              <w:rPr>
                <w:rFonts w:hint="default" w:ascii="仿宋" w:hAnsi="仿宋" w:eastAsia="仿宋" w:cs="仿宋"/>
                <w:sz w:val="32"/>
                <w:szCs w:val="32"/>
                <w:vertAlign w:val="baseline"/>
                <w:lang w:val="en-US" w:eastAsia="zh-CN"/>
              </w:rPr>
            </w:pPr>
            <w:r>
              <w:rPr>
                <w:rFonts w:ascii="宋体" w:hAnsi="宋体" w:eastAsia="宋体" w:cs="宋体"/>
                <w:spacing w:val="-5"/>
                <w:sz w:val="24"/>
                <w:szCs w:val="24"/>
              </w:rPr>
              <w:t>速干</w:t>
            </w:r>
            <w:r>
              <w:rPr>
                <w:rFonts w:ascii="宋体" w:hAnsi="宋体" w:eastAsia="宋体" w:cs="宋体"/>
                <w:sz w:val="24"/>
                <w:szCs w:val="24"/>
              </w:rPr>
              <w:t xml:space="preserve"> </w:t>
            </w:r>
            <w:r>
              <w:rPr>
                <w:rFonts w:ascii="宋体" w:hAnsi="宋体" w:eastAsia="宋体" w:cs="宋体"/>
                <w:spacing w:val="-5"/>
                <w:sz w:val="24"/>
                <w:szCs w:val="24"/>
              </w:rPr>
              <w:t>哈佛</w:t>
            </w:r>
            <w:r>
              <w:rPr>
                <w:rFonts w:ascii="宋体" w:hAnsi="宋体" w:eastAsia="宋体" w:cs="宋体"/>
                <w:sz w:val="24"/>
                <w:szCs w:val="24"/>
              </w:rPr>
              <w:t xml:space="preserve"> </w:t>
            </w:r>
            <w:r>
              <w:rPr>
                <w:rFonts w:ascii="宋体" w:hAnsi="宋体" w:eastAsia="宋体" w:cs="宋体"/>
                <w:spacing w:val="8"/>
                <w:sz w:val="24"/>
                <w:szCs w:val="24"/>
              </w:rPr>
              <w:t>红</w:t>
            </w:r>
            <w:r>
              <w:rPr>
                <w:rFonts w:ascii="宋体" w:hAnsi="宋体" w:eastAsia="宋体" w:cs="宋体"/>
                <w:spacing w:val="-56"/>
                <w:sz w:val="24"/>
                <w:szCs w:val="24"/>
              </w:rPr>
              <w:t xml:space="preserve"> </w:t>
            </w:r>
            <w:r>
              <w:rPr>
                <w:rFonts w:ascii="宋体" w:hAnsi="宋体" w:eastAsia="宋体" w:cs="宋体"/>
                <w:spacing w:val="8"/>
                <w:sz w:val="24"/>
                <w:szCs w:val="24"/>
              </w:rPr>
              <w:t>T</w:t>
            </w:r>
            <w:r>
              <w:rPr>
                <w:rFonts w:ascii="宋体" w:hAnsi="宋体" w:eastAsia="宋体" w:cs="宋体"/>
                <w:sz w:val="24"/>
                <w:szCs w:val="24"/>
              </w:rPr>
              <w:t xml:space="preserve"> </w:t>
            </w:r>
            <w:r>
              <w:rPr>
                <w:rFonts w:ascii="宋体" w:hAnsi="宋体" w:eastAsia="宋体" w:cs="宋体"/>
                <w:spacing w:val="36"/>
                <w:w w:val="131"/>
                <w:sz w:val="24"/>
                <w:szCs w:val="24"/>
              </w:rPr>
              <w:t>恤</w:t>
            </w:r>
            <w:r>
              <w:rPr>
                <w:rFonts w:ascii="宋体" w:hAnsi="宋体" w:eastAsia="宋体" w:cs="宋体"/>
                <w:sz w:val="24"/>
                <w:szCs w:val="24"/>
              </w:rPr>
              <w:t xml:space="preserve">  </w:t>
            </w:r>
            <w:r>
              <w:rPr>
                <w:rFonts w:ascii="宋体" w:hAnsi="宋体" w:eastAsia="宋体" w:cs="宋体"/>
                <w:spacing w:val="-10"/>
                <w:sz w:val="24"/>
                <w:szCs w:val="24"/>
              </w:rPr>
              <w:t>（方</w:t>
            </w:r>
            <w:r>
              <w:rPr>
                <w:rFonts w:ascii="宋体" w:hAnsi="宋体" w:eastAsia="宋体" w:cs="宋体"/>
                <w:sz w:val="24"/>
                <w:szCs w:val="24"/>
              </w:rPr>
              <w:t xml:space="preserve"> </w:t>
            </w:r>
            <w:r>
              <w:rPr>
                <w:rFonts w:ascii="宋体" w:hAnsi="宋体" w:eastAsia="宋体" w:cs="宋体"/>
                <w:spacing w:val="-5"/>
                <w:sz w:val="24"/>
                <w:szCs w:val="24"/>
              </w:rPr>
              <w:t>领）</w:t>
            </w:r>
          </w:p>
        </w:tc>
        <w:tc>
          <w:tcPr>
            <w:tcW w:w="902" w:type="dxa"/>
            <w:vAlign w:val="top"/>
          </w:tcPr>
          <w:p w14:paraId="1B7D9113">
            <w:pPr>
              <w:pStyle w:val="31"/>
              <w:spacing w:line="259" w:lineRule="auto"/>
            </w:pPr>
            <w:r>
              <w:rPr>
                <w:position w:val="-36"/>
              </w:rPr>
              <w:drawing>
                <wp:anchor distT="0" distB="0" distL="0" distR="0" simplePos="0" relativeHeight="251664384" behindDoc="0" locked="0" layoutInCell="1" allowOverlap="1">
                  <wp:simplePos x="0" y="0"/>
                  <wp:positionH relativeFrom="column">
                    <wp:posOffset>351790</wp:posOffset>
                  </wp:positionH>
                  <wp:positionV relativeFrom="paragraph">
                    <wp:posOffset>142875</wp:posOffset>
                  </wp:positionV>
                  <wp:extent cx="1017905" cy="1151890"/>
                  <wp:effectExtent l="0" t="0" r="10795" b="10160"/>
                  <wp:wrapNone/>
                  <wp:docPr id="15" name="IM 12"/>
                  <wp:cNvGraphicFramePr/>
                  <a:graphic xmlns:a="http://schemas.openxmlformats.org/drawingml/2006/main">
                    <a:graphicData uri="http://schemas.openxmlformats.org/drawingml/2006/picture">
                      <pic:pic xmlns:pic="http://schemas.openxmlformats.org/drawingml/2006/picture">
                        <pic:nvPicPr>
                          <pic:cNvPr id="15" name="IM 12"/>
                          <pic:cNvPicPr/>
                        </pic:nvPicPr>
                        <pic:blipFill>
                          <a:blip r:embed="rId13"/>
                          <a:stretch>
                            <a:fillRect/>
                          </a:stretch>
                        </pic:blipFill>
                        <pic:spPr>
                          <a:xfrm>
                            <a:off x="0" y="0"/>
                            <a:ext cx="1017905" cy="1151890"/>
                          </a:xfrm>
                          <a:prstGeom prst="rect">
                            <a:avLst/>
                          </a:prstGeom>
                        </pic:spPr>
                      </pic:pic>
                    </a:graphicData>
                  </a:graphic>
                </wp:anchor>
              </w:drawing>
            </w:r>
          </w:p>
          <w:p w14:paraId="1E774C4D">
            <w:pPr>
              <w:pStyle w:val="31"/>
              <w:spacing w:line="260" w:lineRule="auto"/>
            </w:pPr>
          </w:p>
          <w:p w14:paraId="41F7EDFA">
            <w:pPr>
              <w:pStyle w:val="31"/>
              <w:spacing w:line="260" w:lineRule="auto"/>
            </w:pPr>
          </w:p>
          <w:p w14:paraId="4E2E8FC7">
            <w:pPr>
              <w:spacing w:before="78" w:line="220" w:lineRule="auto"/>
              <w:ind w:left="112" w:leftChars="0"/>
              <w:rPr>
                <w:rFonts w:hint="default" w:ascii="仿宋" w:hAnsi="仿宋" w:eastAsia="仿宋" w:cs="仿宋"/>
                <w:sz w:val="32"/>
                <w:szCs w:val="32"/>
                <w:vertAlign w:val="baseline"/>
                <w:lang w:val="en-US" w:eastAsia="zh-CN"/>
              </w:rPr>
            </w:pPr>
            <w:r>
              <w:rPr>
                <w:rFonts w:ascii="宋体" w:hAnsi="宋体" w:eastAsia="宋体" w:cs="宋体"/>
                <w:sz w:val="24"/>
                <w:szCs w:val="24"/>
              </w:rPr>
              <w:t>件</w:t>
            </w:r>
          </w:p>
        </w:tc>
        <w:tc>
          <w:tcPr>
            <w:tcW w:w="1335" w:type="dxa"/>
            <w:vAlign w:val="top"/>
          </w:tcPr>
          <w:p w14:paraId="340BC0ED">
            <w:pPr>
              <w:pStyle w:val="31"/>
              <w:spacing w:line="279" w:lineRule="auto"/>
            </w:pPr>
          </w:p>
          <w:p w14:paraId="2560AD7E">
            <w:pPr>
              <w:pStyle w:val="31"/>
              <w:spacing w:line="279" w:lineRule="auto"/>
            </w:pPr>
          </w:p>
          <w:p w14:paraId="05AF7B22">
            <w:pPr>
              <w:spacing w:line="1814" w:lineRule="exact"/>
              <w:ind w:firstLine="333" w:firstLineChars="0"/>
              <w:rPr>
                <w:rFonts w:hint="default" w:ascii="仿宋" w:hAnsi="仿宋" w:eastAsia="仿宋" w:cs="仿宋"/>
                <w:sz w:val="32"/>
                <w:szCs w:val="32"/>
                <w:vertAlign w:val="baseline"/>
                <w:lang w:val="en-US" w:eastAsia="zh-CN"/>
              </w:rPr>
            </w:pPr>
          </w:p>
        </w:tc>
        <w:tc>
          <w:tcPr>
            <w:tcW w:w="6385" w:type="dxa"/>
            <w:vAlign w:val="top"/>
          </w:tcPr>
          <w:p w14:paraId="1E800EA1">
            <w:pPr>
              <w:spacing w:before="36" w:line="219" w:lineRule="auto"/>
              <w:ind w:left="131"/>
              <w:rPr>
                <w:rFonts w:ascii="宋体" w:hAnsi="宋体" w:eastAsia="宋体" w:cs="宋体"/>
                <w:sz w:val="24"/>
                <w:szCs w:val="24"/>
              </w:rPr>
            </w:pPr>
            <w:r>
              <w:rPr>
                <w:rFonts w:ascii="宋体" w:hAnsi="宋体" w:eastAsia="宋体" w:cs="宋体"/>
                <w:spacing w:val="-5"/>
                <w:sz w:val="24"/>
                <w:szCs w:val="24"/>
              </w:rPr>
              <w:t>1、速干衣面料符合《中</w:t>
            </w:r>
          </w:p>
          <w:p w14:paraId="010490E0">
            <w:pPr>
              <w:spacing w:before="27" w:line="232" w:lineRule="auto"/>
              <w:ind w:left="1073" w:right="167" w:hanging="884"/>
              <w:rPr>
                <w:rFonts w:ascii="宋体" w:hAnsi="宋体" w:eastAsia="宋体" w:cs="宋体"/>
                <w:sz w:val="24"/>
                <w:szCs w:val="24"/>
              </w:rPr>
            </w:pPr>
            <w:r>
              <w:rPr>
                <w:rFonts w:ascii="宋体" w:hAnsi="宋体" w:eastAsia="宋体" w:cs="宋体"/>
                <w:spacing w:val="-4"/>
                <w:sz w:val="24"/>
                <w:szCs w:val="24"/>
              </w:rPr>
              <w:t>国卫生应急服装技术规</w:t>
            </w:r>
            <w:r>
              <w:rPr>
                <w:rFonts w:ascii="宋体" w:hAnsi="宋体" w:eastAsia="宋体" w:cs="宋体"/>
                <w:spacing w:val="-45"/>
                <w:w w:val="98"/>
                <w:sz w:val="24"/>
                <w:szCs w:val="24"/>
              </w:rPr>
              <w:t>范》。</w:t>
            </w:r>
          </w:p>
          <w:p w14:paraId="6F100BF5">
            <w:pPr>
              <w:spacing w:before="20" w:line="233" w:lineRule="auto"/>
              <w:ind w:left="165" w:right="122" w:hanging="49"/>
              <w:rPr>
                <w:rFonts w:ascii="宋体" w:hAnsi="宋体" w:eastAsia="宋体" w:cs="宋体"/>
                <w:sz w:val="24"/>
                <w:szCs w:val="24"/>
              </w:rPr>
            </w:pPr>
            <w:r>
              <w:rPr>
                <w:rFonts w:ascii="宋体" w:hAnsi="宋体" w:eastAsia="宋体" w:cs="宋体"/>
                <w:spacing w:val="-4"/>
                <w:sz w:val="24"/>
                <w:szCs w:val="24"/>
              </w:rPr>
              <w:t>2、高科技速干面料拥有</w:t>
            </w:r>
            <w:r>
              <w:rPr>
                <w:rFonts w:ascii="宋体" w:hAnsi="宋体" w:eastAsia="宋体" w:cs="宋体"/>
                <w:spacing w:val="8"/>
                <w:sz w:val="24"/>
                <w:szCs w:val="24"/>
              </w:rPr>
              <w:t xml:space="preserve"> </w:t>
            </w:r>
            <w:r>
              <w:rPr>
                <w:rFonts w:ascii="宋体" w:hAnsi="宋体" w:eastAsia="宋体" w:cs="宋体"/>
                <w:spacing w:val="-1"/>
                <w:sz w:val="24"/>
                <w:szCs w:val="24"/>
              </w:rPr>
              <w:t>高吸水性，快干，快速</w:t>
            </w:r>
            <w:r>
              <w:rPr>
                <w:rFonts w:ascii="宋体" w:hAnsi="宋体" w:eastAsia="宋体" w:cs="宋体"/>
                <w:sz w:val="24"/>
                <w:szCs w:val="24"/>
              </w:rPr>
              <w:t xml:space="preserve"> </w:t>
            </w:r>
            <w:r>
              <w:rPr>
                <w:rFonts w:ascii="宋体" w:hAnsi="宋体" w:eastAsia="宋体" w:cs="宋体"/>
                <w:spacing w:val="-4"/>
                <w:sz w:val="24"/>
                <w:szCs w:val="24"/>
              </w:rPr>
              <w:t>排汗，适合户外作业。</w:t>
            </w:r>
          </w:p>
          <w:p w14:paraId="24A5BC55">
            <w:pPr>
              <w:spacing w:before="29" w:line="229" w:lineRule="auto"/>
              <w:ind w:left="412" w:right="153" w:hanging="270"/>
              <w:rPr>
                <w:rFonts w:ascii="宋体" w:hAnsi="宋体" w:eastAsia="宋体" w:cs="宋体"/>
                <w:sz w:val="24"/>
                <w:szCs w:val="24"/>
              </w:rPr>
            </w:pPr>
            <w:r>
              <w:rPr>
                <w:rFonts w:ascii="宋体" w:hAnsi="宋体" w:eastAsia="宋体" w:cs="宋体"/>
                <w:spacing w:val="-4"/>
                <w:sz w:val="24"/>
                <w:szCs w:val="24"/>
              </w:rPr>
              <w:t>3、缝纫针距</w:t>
            </w:r>
            <w:r>
              <w:rPr>
                <w:rFonts w:ascii="宋体" w:hAnsi="宋体" w:eastAsia="宋体" w:cs="宋体"/>
                <w:spacing w:val="-40"/>
                <w:sz w:val="24"/>
                <w:szCs w:val="24"/>
              </w:rPr>
              <w:t xml:space="preserve"> </w:t>
            </w:r>
            <w:r>
              <w:rPr>
                <w:rFonts w:ascii="宋体" w:hAnsi="宋体" w:eastAsia="宋体" w:cs="宋体"/>
                <w:spacing w:val="-4"/>
                <w:sz w:val="24"/>
                <w:szCs w:val="24"/>
              </w:rPr>
              <w:t>0.2mm，比</w:t>
            </w:r>
            <w:r>
              <w:rPr>
                <w:rFonts w:ascii="宋体" w:hAnsi="宋体" w:eastAsia="宋体" w:cs="宋体"/>
                <w:sz w:val="24"/>
                <w:szCs w:val="24"/>
              </w:rPr>
              <w:t xml:space="preserve"> </w:t>
            </w:r>
            <w:r>
              <w:rPr>
                <w:rFonts w:ascii="宋体" w:hAnsi="宋体" w:eastAsia="宋体" w:cs="宋体"/>
                <w:spacing w:val="-6"/>
                <w:sz w:val="24"/>
                <w:szCs w:val="24"/>
              </w:rPr>
              <w:t>市面上的更精致。</w:t>
            </w:r>
          </w:p>
          <w:p w14:paraId="702B732A">
            <w:pPr>
              <w:spacing w:before="27" w:line="230" w:lineRule="auto"/>
              <w:ind w:left="440" w:right="40" w:hanging="328"/>
              <w:rPr>
                <w:rFonts w:ascii="宋体" w:hAnsi="宋体" w:eastAsia="宋体" w:cs="宋体"/>
                <w:sz w:val="24"/>
                <w:szCs w:val="24"/>
              </w:rPr>
            </w:pPr>
            <w:r>
              <w:rPr>
                <w:rFonts w:ascii="宋体" w:hAnsi="宋体" w:eastAsia="宋体" w:cs="宋体"/>
                <w:spacing w:val="-18"/>
                <w:sz w:val="24"/>
                <w:szCs w:val="24"/>
              </w:rPr>
              <w:t>4、面料成分：</w:t>
            </w:r>
            <w:r>
              <w:rPr>
                <w:rFonts w:ascii="宋体" w:hAnsi="宋体" w:eastAsia="宋体" w:cs="宋体"/>
                <w:spacing w:val="-57"/>
                <w:sz w:val="24"/>
                <w:szCs w:val="24"/>
              </w:rPr>
              <w:t xml:space="preserve"> </w:t>
            </w:r>
            <w:r>
              <w:rPr>
                <w:rFonts w:ascii="宋体" w:hAnsi="宋体" w:eastAsia="宋体" w:cs="宋体"/>
                <w:spacing w:val="-18"/>
                <w:sz w:val="24"/>
                <w:szCs w:val="24"/>
              </w:rPr>
              <w:t>100%涤纶；</w:t>
            </w:r>
            <w:r>
              <w:rPr>
                <w:rFonts w:ascii="宋体" w:hAnsi="宋体" w:eastAsia="宋体" w:cs="宋体"/>
                <w:sz w:val="24"/>
                <w:szCs w:val="24"/>
              </w:rPr>
              <w:t xml:space="preserve"> </w:t>
            </w:r>
            <w:r>
              <w:rPr>
                <w:rFonts w:ascii="宋体" w:hAnsi="宋体" w:eastAsia="宋体" w:cs="宋体"/>
                <w:spacing w:val="-2"/>
                <w:sz w:val="24"/>
                <w:szCs w:val="24"/>
              </w:rPr>
              <w:t>面料克重：180</w:t>
            </w:r>
            <w:r>
              <w:rPr>
                <w:rFonts w:ascii="宋体" w:hAnsi="宋体" w:eastAsia="宋体" w:cs="宋体"/>
                <w:spacing w:val="-41"/>
                <w:sz w:val="24"/>
                <w:szCs w:val="24"/>
              </w:rPr>
              <w:t xml:space="preserve"> </w:t>
            </w:r>
            <w:r>
              <w:rPr>
                <w:rFonts w:ascii="宋体" w:hAnsi="宋体" w:eastAsia="宋体" w:cs="宋体"/>
                <w:spacing w:val="-2"/>
                <w:sz w:val="24"/>
                <w:szCs w:val="24"/>
              </w:rPr>
              <w:t>克</w:t>
            </w:r>
          </w:p>
          <w:p w14:paraId="3AAC00E2">
            <w:pPr>
              <w:spacing w:before="27" w:line="230" w:lineRule="auto"/>
              <w:ind w:left="286" w:right="131" w:hanging="168"/>
              <w:rPr>
                <w:rFonts w:hint="default" w:ascii="仿宋" w:hAnsi="仿宋" w:eastAsia="仿宋" w:cs="仿宋"/>
                <w:sz w:val="32"/>
                <w:szCs w:val="32"/>
                <w:vertAlign w:val="baseline"/>
                <w:lang w:val="en-US" w:eastAsia="zh-CN"/>
              </w:rPr>
            </w:pPr>
            <w:r>
              <w:rPr>
                <w:rFonts w:ascii="宋体" w:hAnsi="宋体" w:eastAsia="宋体" w:cs="宋体"/>
                <w:spacing w:val="-5"/>
                <w:sz w:val="24"/>
                <w:szCs w:val="24"/>
              </w:rPr>
              <w:t>5、胸前和左袖口分别印</w:t>
            </w:r>
            <w:r>
              <w:rPr>
                <w:rFonts w:ascii="宋体" w:hAnsi="宋体" w:eastAsia="宋体" w:cs="宋体"/>
                <w:spacing w:val="8"/>
                <w:sz w:val="24"/>
                <w:szCs w:val="24"/>
              </w:rPr>
              <w:t xml:space="preserve"> </w:t>
            </w:r>
            <w:r>
              <w:rPr>
                <w:rFonts w:ascii="宋体" w:hAnsi="宋体" w:eastAsia="宋体" w:cs="宋体"/>
                <w:spacing w:val="-2"/>
                <w:sz w:val="24"/>
                <w:szCs w:val="24"/>
              </w:rPr>
              <w:t>有中国卫生和国旗标</w:t>
            </w:r>
            <w:r>
              <w:rPr>
                <w:rFonts w:ascii="宋体" w:hAnsi="宋体" w:eastAsia="宋体" w:cs="宋体"/>
                <w:spacing w:val="-12"/>
                <w:sz w:val="24"/>
                <w:szCs w:val="24"/>
              </w:rPr>
              <w:t>书。</w:t>
            </w:r>
          </w:p>
        </w:tc>
      </w:tr>
      <w:tr w14:paraId="4DD5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vAlign w:val="top"/>
          </w:tcPr>
          <w:p w14:paraId="025005FC">
            <w:pPr>
              <w:pStyle w:val="31"/>
              <w:spacing w:line="254" w:lineRule="auto"/>
            </w:pPr>
          </w:p>
          <w:p w14:paraId="2664947B">
            <w:pPr>
              <w:pStyle w:val="31"/>
              <w:spacing w:line="254" w:lineRule="auto"/>
            </w:pPr>
          </w:p>
          <w:p w14:paraId="63CACFA7">
            <w:pPr>
              <w:spacing w:before="78" w:line="230" w:lineRule="auto"/>
              <w:ind w:left="131" w:leftChars="0" w:right="126" w:rightChars="0" w:hanging="7" w:firstLineChars="0"/>
              <w:rPr>
                <w:rFonts w:hint="default" w:ascii="仿宋" w:hAnsi="仿宋" w:eastAsia="仿宋" w:cs="仿宋"/>
                <w:sz w:val="32"/>
                <w:szCs w:val="32"/>
                <w:vertAlign w:val="baseline"/>
                <w:lang w:val="en-US" w:eastAsia="zh-CN"/>
              </w:rPr>
            </w:pPr>
            <w:r>
              <w:rPr>
                <w:rFonts w:ascii="宋体" w:hAnsi="宋体" w:eastAsia="宋体" w:cs="宋体"/>
                <w:spacing w:val="-5"/>
                <w:sz w:val="24"/>
                <w:szCs w:val="24"/>
              </w:rPr>
              <w:t>应急</w:t>
            </w:r>
            <w:r>
              <w:rPr>
                <w:rFonts w:ascii="宋体" w:hAnsi="宋体" w:eastAsia="宋体" w:cs="宋体"/>
                <w:sz w:val="24"/>
                <w:szCs w:val="24"/>
              </w:rPr>
              <w:t xml:space="preserve"> </w:t>
            </w:r>
            <w:r>
              <w:rPr>
                <w:rFonts w:ascii="宋体" w:hAnsi="宋体" w:eastAsia="宋体" w:cs="宋体"/>
                <w:spacing w:val="-9"/>
                <w:sz w:val="24"/>
                <w:szCs w:val="24"/>
              </w:rPr>
              <w:t>马甲</w:t>
            </w:r>
          </w:p>
        </w:tc>
        <w:tc>
          <w:tcPr>
            <w:tcW w:w="902" w:type="dxa"/>
            <w:vAlign w:val="top"/>
          </w:tcPr>
          <w:p w14:paraId="413DCA3A">
            <w:pPr>
              <w:pStyle w:val="31"/>
              <w:spacing w:line="292" w:lineRule="auto"/>
            </w:pPr>
            <w:r>
              <w:rPr>
                <w:position w:val="-29"/>
              </w:rPr>
              <w:drawing>
                <wp:anchor distT="0" distB="0" distL="0" distR="0" simplePos="0" relativeHeight="251667456" behindDoc="1" locked="0" layoutInCell="1" allowOverlap="1">
                  <wp:simplePos x="0" y="0"/>
                  <wp:positionH relativeFrom="column">
                    <wp:posOffset>483870</wp:posOffset>
                  </wp:positionH>
                  <wp:positionV relativeFrom="paragraph">
                    <wp:posOffset>135890</wp:posOffset>
                  </wp:positionV>
                  <wp:extent cx="929005" cy="929005"/>
                  <wp:effectExtent l="0" t="0" r="4445" b="4445"/>
                  <wp:wrapNone/>
                  <wp:docPr id="16" name="IM 14"/>
                  <wp:cNvGraphicFramePr/>
                  <a:graphic xmlns:a="http://schemas.openxmlformats.org/drawingml/2006/main">
                    <a:graphicData uri="http://schemas.openxmlformats.org/drawingml/2006/picture">
                      <pic:pic xmlns:pic="http://schemas.openxmlformats.org/drawingml/2006/picture">
                        <pic:nvPicPr>
                          <pic:cNvPr id="16" name="IM 14"/>
                          <pic:cNvPicPr/>
                        </pic:nvPicPr>
                        <pic:blipFill>
                          <a:blip r:embed="rId14"/>
                          <a:stretch>
                            <a:fillRect/>
                          </a:stretch>
                        </pic:blipFill>
                        <pic:spPr>
                          <a:xfrm>
                            <a:off x="0" y="0"/>
                            <a:ext cx="929639" cy="929639"/>
                          </a:xfrm>
                          <a:prstGeom prst="rect">
                            <a:avLst/>
                          </a:prstGeom>
                        </pic:spPr>
                      </pic:pic>
                    </a:graphicData>
                  </a:graphic>
                </wp:anchor>
              </w:drawing>
            </w:r>
          </w:p>
          <w:p w14:paraId="660BD3D1">
            <w:pPr>
              <w:pStyle w:val="31"/>
              <w:spacing w:line="293" w:lineRule="auto"/>
            </w:pPr>
          </w:p>
          <w:p w14:paraId="0D034703">
            <w:pPr>
              <w:spacing w:before="78" w:line="220" w:lineRule="auto"/>
              <w:ind w:left="112" w:leftChars="0"/>
              <w:rPr>
                <w:rFonts w:hint="default" w:ascii="仿宋" w:hAnsi="仿宋" w:eastAsia="仿宋" w:cs="仿宋"/>
                <w:sz w:val="32"/>
                <w:szCs w:val="32"/>
                <w:vertAlign w:val="baseline"/>
                <w:lang w:val="en-US" w:eastAsia="zh-CN"/>
              </w:rPr>
            </w:pPr>
            <w:r>
              <w:rPr>
                <w:rFonts w:ascii="宋体" w:hAnsi="宋体" w:eastAsia="宋体" w:cs="宋体"/>
                <w:sz w:val="24"/>
                <w:szCs w:val="24"/>
              </w:rPr>
              <w:t>件</w:t>
            </w:r>
          </w:p>
        </w:tc>
        <w:tc>
          <w:tcPr>
            <w:tcW w:w="1335" w:type="dxa"/>
            <w:vAlign w:val="top"/>
          </w:tcPr>
          <w:p w14:paraId="4976B245">
            <w:pPr>
              <w:pStyle w:val="31"/>
              <w:spacing w:line="320" w:lineRule="auto"/>
            </w:pPr>
          </w:p>
          <w:p w14:paraId="33B58FAA">
            <w:pPr>
              <w:spacing w:line="1464" w:lineRule="exact"/>
              <w:ind w:firstLine="400" w:firstLineChars="0"/>
              <w:rPr>
                <w:rFonts w:hint="default" w:ascii="仿宋" w:hAnsi="仿宋" w:eastAsia="仿宋" w:cs="仿宋"/>
                <w:sz w:val="32"/>
                <w:szCs w:val="32"/>
                <w:vertAlign w:val="baseline"/>
                <w:lang w:val="en-US" w:eastAsia="zh-CN"/>
              </w:rPr>
            </w:pPr>
          </w:p>
        </w:tc>
        <w:tc>
          <w:tcPr>
            <w:tcW w:w="6385" w:type="dxa"/>
            <w:vAlign w:val="top"/>
          </w:tcPr>
          <w:p w14:paraId="288EA6E0">
            <w:pPr>
              <w:spacing w:before="38" w:line="232" w:lineRule="auto"/>
              <w:ind w:left="114" w:right="220" w:hanging="2"/>
            </w:pPr>
            <w:r>
              <w:rPr>
                <w:rFonts w:ascii="宋体" w:hAnsi="宋体" w:eastAsia="宋体" w:cs="宋体"/>
                <w:spacing w:val="-1"/>
                <w:sz w:val="24"/>
                <w:szCs w:val="24"/>
              </w:rPr>
              <w:t>颜色搭配要求和面料要</w:t>
            </w:r>
            <w:r>
              <w:rPr>
                <w:rFonts w:ascii="宋体" w:hAnsi="宋体" w:eastAsia="宋体" w:cs="宋体"/>
                <w:sz w:val="24"/>
                <w:szCs w:val="24"/>
              </w:rPr>
              <w:t>求</w:t>
            </w:r>
            <w:r>
              <w:rPr>
                <w:rFonts w:hint="eastAsia" w:ascii="宋体" w:hAnsi="宋体" w:eastAsia="宋体" w:cs="宋体"/>
                <w:sz w:val="24"/>
                <w:szCs w:val="24"/>
                <w:lang w:eastAsia="zh-CN"/>
              </w:rPr>
              <w:t>：</w:t>
            </w:r>
            <w:r>
              <w:rPr>
                <w:rFonts w:ascii="宋体" w:hAnsi="宋体" w:eastAsia="宋体" w:cs="宋体"/>
                <w:spacing w:val="-5"/>
                <w:sz w:val="24"/>
                <w:szCs w:val="24"/>
              </w:rPr>
              <w:t>(1)采用专用的哈佛红</w:t>
            </w:r>
            <w:r>
              <w:rPr>
                <w:rFonts w:ascii="宋体" w:hAnsi="宋体" w:eastAsia="宋体" w:cs="宋体"/>
                <w:spacing w:val="2"/>
                <w:sz w:val="24"/>
                <w:szCs w:val="24"/>
              </w:rPr>
              <w:t xml:space="preserve"> </w:t>
            </w:r>
            <w:r>
              <w:rPr>
                <w:rFonts w:ascii="宋体" w:hAnsi="宋体" w:eastAsia="宋体" w:cs="宋体"/>
                <w:spacing w:val="-6"/>
                <w:sz w:val="24"/>
                <w:szCs w:val="24"/>
              </w:rPr>
              <w:t>和藏青色搭配。</w:t>
            </w:r>
          </w:p>
          <w:p w14:paraId="0951E815">
            <w:pPr>
              <w:spacing w:before="38" w:line="232" w:lineRule="auto"/>
              <w:ind w:left="114" w:right="220" w:hanging="2"/>
              <w:rPr>
                <w:rFonts w:hint="default" w:ascii="仿宋" w:hAnsi="仿宋" w:eastAsia="仿宋" w:cs="仿宋"/>
                <w:sz w:val="32"/>
                <w:szCs w:val="32"/>
                <w:vertAlign w:val="baseline"/>
                <w:lang w:val="en-US" w:eastAsia="zh-CN"/>
              </w:rPr>
            </w:pPr>
            <w:r>
              <w:rPr>
                <w:rFonts w:ascii="宋体" w:hAnsi="宋体" w:eastAsia="宋体" w:cs="宋体"/>
                <w:sz w:val="24"/>
                <w:szCs w:val="24"/>
              </w:rPr>
              <w:t>(2)采用塔丝隆牛津布面料，成份为 100%锦纶短纤维;  工艺要求采用精细交织技</w:t>
            </w:r>
          </w:p>
        </w:tc>
      </w:tr>
      <w:tr w14:paraId="74C4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1131" w:type="dxa"/>
            <w:vAlign w:val="top"/>
          </w:tcPr>
          <w:p w14:paraId="370F9EED">
            <w:pPr>
              <w:pStyle w:val="31"/>
              <w:spacing w:line="269" w:lineRule="auto"/>
            </w:pPr>
          </w:p>
          <w:p w14:paraId="55271405">
            <w:pPr>
              <w:spacing w:before="78" w:line="230" w:lineRule="auto"/>
              <w:ind w:left="254" w:leftChars="0" w:right="126" w:rightChars="0" w:hanging="129" w:firstLineChars="0"/>
              <w:rPr>
                <w:rFonts w:hint="default" w:ascii="仿宋" w:hAnsi="仿宋" w:eastAsia="仿宋" w:cs="仿宋"/>
                <w:sz w:val="32"/>
                <w:szCs w:val="32"/>
                <w:vertAlign w:val="baseline"/>
                <w:lang w:val="en-US" w:eastAsia="zh-CN"/>
              </w:rPr>
            </w:pPr>
            <w:r>
              <w:rPr>
                <w:rFonts w:ascii="宋体" w:hAnsi="宋体" w:eastAsia="宋体" w:cs="宋体"/>
                <w:spacing w:val="-6"/>
                <w:sz w:val="24"/>
                <w:szCs w:val="24"/>
              </w:rPr>
              <w:t>户外</w:t>
            </w:r>
            <w:r>
              <w:rPr>
                <w:rFonts w:ascii="宋体" w:hAnsi="宋体" w:eastAsia="宋体" w:cs="宋体"/>
                <w:sz w:val="24"/>
                <w:szCs w:val="24"/>
              </w:rPr>
              <w:t xml:space="preserve"> 帽</w:t>
            </w:r>
          </w:p>
        </w:tc>
        <w:tc>
          <w:tcPr>
            <w:tcW w:w="902" w:type="dxa"/>
            <w:vAlign w:val="top"/>
          </w:tcPr>
          <w:p w14:paraId="0B0F875A">
            <w:pPr>
              <w:pStyle w:val="31"/>
              <w:spacing w:line="252" w:lineRule="auto"/>
            </w:pPr>
          </w:p>
          <w:p w14:paraId="082C4BD3">
            <w:pPr>
              <w:pStyle w:val="31"/>
              <w:spacing w:line="253" w:lineRule="auto"/>
            </w:pPr>
          </w:p>
          <w:p w14:paraId="362EDEDA">
            <w:pPr>
              <w:spacing w:before="78" w:line="220" w:lineRule="auto"/>
              <w:ind w:left="113" w:leftChars="0"/>
              <w:rPr>
                <w:rFonts w:hint="default" w:ascii="仿宋" w:hAnsi="仿宋" w:eastAsia="仿宋" w:cs="仿宋"/>
                <w:sz w:val="32"/>
                <w:szCs w:val="32"/>
                <w:vertAlign w:val="baseline"/>
                <w:lang w:val="en-US" w:eastAsia="zh-CN"/>
              </w:rPr>
            </w:pPr>
            <w:r>
              <w:rPr>
                <w:rFonts w:ascii="宋体" w:hAnsi="宋体" w:eastAsia="宋体" w:cs="宋体"/>
                <w:sz w:val="24"/>
                <w:szCs w:val="24"/>
              </w:rPr>
              <w:t>顶</w:t>
            </w:r>
          </w:p>
        </w:tc>
        <w:tc>
          <w:tcPr>
            <w:tcW w:w="1335" w:type="dxa"/>
            <w:vAlign w:val="top"/>
          </w:tcPr>
          <w:p w14:paraId="654D6E68">
            <w:pPr>
              <w:pStyle w:val="31"/>
              <w:spacing w:line="274" w:lineRule="auto"/>
              <w:rPr>
                <w:rFonts w:hint="default" w:ascii="仿宋" w:hAnsi="仿宋" w:eastAsia="仿宋" w:cs="仿宋"/>
                <w:sz w:val="32"/>
                <w:szCs w:val="32"/>
                <w:vertAlign w:val="baseline"/>
                <w:lang w:val="en-US" w:eastAsia="zh-CN"/>
              </w:rPr>
            </w:pPr>
            <w:r>
              <w:rPr>
                <w:position w:val="-35"/>
              </w:rPr>
              <w:drawing>
                <wp:anchor distT="0" distB="0" distL="0" distR="0" simplePos="0" relativeHeight="251665408" behindDoc="0" locked="0" layoutInCell="1" allowOverlap="1">
                  <wp:simplePos x="0" y="0"/>
                  <wp:positionH relativeFrom="column">
                    <wp:posOffset>-48260</wp:posOffset>
                  </wp:positionH>
                  <wp:positionV relativeFrom="paragraph">
                    <wp:posOffset>20955</wp:posOffset>
                  </wp:positionV>
                  <wp:extent cx="829310" cy="1115695"/>
                  <wp:effectExtent l="0" t="0" r="8890" b="8255"/>
                  <wp:wrapNone/>
                  <wp:docPr id="19" name="IM 16"/>
                  <wp:cNvGraphicFramePr/>
                  <a:graphic xmlns:a="http://schemas.openxmlformats.org/drawingml/2006/main">
                    <a:graphicData uri="http://schemas.openxmlformats.org/drawingml/2006/picture">
                      <pic:pic xmlns:pic="http://schemas.openxmlformats.org/drawingml/2006/picture">
                        <pic:nvPicPr>
                          <pic:cNvPr id="19" name="IM 16"/>
                          <pic:cNvPicPr/>
                        </pic:nvPicPr>
                        <pic:blipFill>
                          <a:blip r:embed="rId15"/>
                          <a:stretch>
                            <a:fillRect/>
                          </a:stretch>
                        </pic:blipFill>
                        <pic:spPr>
                          <a:xfrm>
                            <a:off x="0" y="0"/>
                            <a:ext cx="829310" cy="1115695"/>
                          </a:xfrm>
                          <a:prstGeom prst="rect">
                            <a:avLst/>
                          </a:prstGeom>
                        </pic:spPr>
                      </pic:pic>
                    </a:graphicData>
                  </a:graphic>
                </wp:anchor>
              </w:drawing>
            </w:r>
          </w:p>
        </w:tc>
        <w:tc>
          <w:tcPr>
            <w:tcW w:w="6385" w:type="dxa"/>
            <w:vAlign w:val="top"/>
          </w:tcPr>
          <w:p w14:paraId="77FA9CB8">
            <w:pPr>
              <w:spacing w:before="39" w:line="219" w:lineRule="auto"/>
              <w:ind w:left="112"/>
              <w:rPr>
                <w:rFonts w:hint="default" w:ascii="仿宋" w:hAnsi="仿宋" w:eastAsia="仿宋" w:cs="仿宋"/>
                <w:sz w:val="32"/>
                <w:szCs w:val="32"/>
                <w:vertAlign w:val="baseline"/>
                <w:lang w:val="en-US" w:eastAsia="zh-CN"/>
              </w:rPr>
            </w:pPr>
            <w:r>
              <w:rPr>
                <w:rFonts w:ascii="宋体" w:hAnsi="宋体" w:eastAsia="宋体" w:cs="宋体"/>
                <w:spacing w:val="6"/>
                <w:sz w:val="24"/>
                <w:szCs w:val="24"/>
              </w:rPr>
              <w:t>尺寸规格</w:t>
            </w:r>
            <w:r>
              <w:rPr>
                <w:rFonts w:ascii="宋体" w:hAnsi="宋体" w:eastAsia="宋体" w:cs="宋体"/>
                <w:b/>
                <w:bCs/>
                <w:spacing w:val="6"/>
                <w:sz w:val="24"/>
                <w:szCs w:val="24"/>
              </w:rPr>
              <w:t>:</w:t>
            </w:r>
            <w:r>
              <w:rPr>
                <w:rFonts w:ascii="宋体" w:hAnsi="宋体" w:eastAsia="宋体" w:cs="宋体"/>
                <w:spacing w:val="-2"/>
                <w:sz w:val="24"/>
                <w:szCs w:val="24"/>
              </w:rPr>
              <w:t>单一尺寸规格，可以调</w:t>
            </w:r>
            <w:r>
              <w:rPr>
                <w:rFonts w:ascii="宋体" w:hAnsi="宋体" w:eastAsia="宋体" w:cs="宋体"/>
                <w:spacing w:val="7"/>
                <w:sz w:val="24"/>
                <w:szCs w:val="24"/>
              </w:rPr>
              <w:t xml:space="preserve"> </w:t>
            </w:r>
            <w:r>
              <w:rPr>
                <w:rFonts w:ascii="宋体" w:hAnsi="宋体" w:eastAsia="宋体" w:cs="宋体"/>
                <w:spacing w:val="-1"/>
                <w:sz w:val="24"/>
                <w:szCs w:val="24"/>
              </w:rPr>
              <w:t>节后部松紧拉扣以保证</w:t>
            </w:r>
            <w:r>
              <w:rPr>
                <w:rFonts w:ascii="宋体" w:hAnsi="宋体" w:eastAsia="宋体" w:cs="宋体"/>
                <w:sz w:val="24"/>
                <w:szCs w:val="24"/>
              </w:rPr>
              <w:t xml:space="preserve"> </w:t>
            </w:r>
            <w:r>
              <w:rPr>
                <w:rFonts w:ascii="宋体" w:hAnsi="宋体" w:eastAsia="宋体" w:cs="宋体"/>
                <w:spacing w:val="-6"/>
                <w:sz w:val="24"/>
                <w:szCs w:val="24"/>
              </w:rPr>
              <w:t>头型符合度。</w:t>
            </w:r>
            <w:r>
              <w:rPr>
                <w:rFonts w:ascii="宋体" w:hAnsi="宋体" w:eastAsia="宋体" w:cs="宋体"/>
                <w:spacing w:val="-1"/>
                <w:sz w:val="24"/>
                <w:szCs w:val="24"/>
              </w:rPr>
              <w:t>标识</w:t>
            </w:r>
            <w:r>
              <w:rPr>
                <w:rFonts w:ascii="宋体" w:hAnsi="宋体" w:eastAsia="宋体" w:cs="宋体"/>
                <w:b/>
                <w:bCs/>
                <w:spacing w:val="-1"/>
                <w:sz w:val="24"/>
                <w:szCs w:val="24"/>
              </w:rPr>
              <w:t>：</w:t>
            </w:r>
            <w:r>
              <w:rPr>
                <w:rFonts w:ascii="宋体" w:hAnsi="宋体" w:eastAsia="宋体" w:cs="宋体"/>
                <w:spacing w:val="-1"/>
                <w:sz w:val="24"/>
                <w:szCs w:val="24"/>
              </w:rPr>
              <w:t>帽子有中国卫生</w:t>
            </w:r>
            <w:r>
              <w:rPr>
                <w:rFonts w:ascii="宋体" w:hAnsi="宋体" w:eastAsia="宋体" w:cs="宋体"/>
                <w:sz w:val="24"/>
                <w:szCs w:val="24"/>
              </w:rPr>
              <w:t xml:space="preserve"> </w:t>
            </w:r>
            <w:r>
              <w:rPr>
                <w:rFonts w:ascii="宋体" w:hAnsi="宋体" w:eastAsia="宋体" w:cs="宋体"/>
                <w:spacing w:val="-1"/>
                <w:sz w:val="24"/>
                <w:szCs w:val="24"/>
              </w:rPr>
              <w:t>标识，采用多彩立体电</w:t>
            </w:r>
            <w:r>
              <w:rPr>
                <w:rFonts w:ascii="宋体" w:hAnsi="宋体" w:eastAsia="宋体" w:cs="宋体"/>
                <w:sz w:val="24"/>
                <w:szCs w:val="24"/>
              </w:rPr>
              <w:t xml:space="preserve"> </w:t>
            </w:r>
            <w:r>
              <w:rPr>
                <w:rFonts w:ascii="宋体" w:hAnsi="宋体" w:eastAsia="宋体" w:cs="宋体"/>
                <w:spacing w:val="-1"/>
                <w:sz w:val="24"/>
                <w:szCs w:val="24"/>
              </w:rPr>
              <w:t>脑绣花制作，样式须符</w:t>
            </w:r>
            <w:r>
              <w:rPr>
                <w:rFonts w:ascii="宋体" w:hAnsi="宋体" w:eastAsia="宋体" w:cs="宋体"/>
                <w:sz w:val="24"/>
                <w:szCs w:val="24"/>
              </w:rPr>
              <w:t xml:space="preserve"> </w:t>
            </w:r>
            <w:r>
              <w:rPr>
                <w:rFonts w:ascii="宋体" w:hAnsi="宋体" w:eastAsia="宋体" w:cs="宋体"/>
                <w:spacing w:val="-1"/>
                <w:sz w:val="24"/>
                <w:szCs w:val="24"/>
              </w:rPr>
              <w:t>合卫生系统统一标识的</w:t>
            </w:r>
            <w:r>
              <w:rPr>
                <w:rFonts w:ascii="宋体" w:hAnsi="宋体" w:eastAsia="宋体" w:cs="宋体"/>
                <w:sz w:val="24"/>
                <w:szCs w:val="24"/>
              </w:rPr>
              <w:t xml:space="preserve"> </w:t>
            </w:r>
            <w:r>
              <w:rPr>
                <w:rFonts w:ascii="宋体" w:hAnsi="宋体" w:eastAsia="宋体" w:cs="宋体"/>
                <w:spacing w:val="-1"/>
                <w:sz w:val="24"/>
                <w:szCs w:val="24"/>
              </w:rPr>
              <w:t>要求，颜色采用金光红</w:t>
            </w:r>
          </w:p>
        </w:tc>
      </w:tr>
      <w:tr w14:paraId="19E4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vAlign w:val="top"/>
          </w:tcPr>
          <w:p w14:paraId="173DC2C2">
            <w:pPr>
              <w:pStyle w:val="31"/>
              <w:spacing w:line="257" w:lineRule="auto"/>
            </w:pPr>
          </w:p>
          <w:p w14:paraId="00FA4060">
            <w:pPr>
              <w:pStyle w:val="31"/>
              <w:spacing w:line="257" w:lineRule="auto"/>
            </w:pPr>
          </w:p>
          <w:p w14:paraId="3DF36A89">
            <w:pPr>
              <w:spacing w:before="78" w:line="219" w:lineRule="auto"/>
              <w:ind w:left="129" w:leftChars="0"/>
              <w:rPr>
                <w:rFonts w:hint="default" w:ascii="仿宋" w:hAnsi="仿宋" w:eastAsia="仿宋" w:cs="仿宋"/>
                <w:sz w:val="32"/>
                <w:szCs w:val="32"/>
                <w:vertAlign w:val="baseline"/>
                <w:lang w:val="en-US" w:eastAsia="zh-CN"/>
              </w:rPr>
            </w:pPr>
            <w:r>
              <w:rPr>
                <w:rFonts w:ascii="宋体" w:hAnsi="宋体" w:eastAsia="宋体" w:cs="宋体"/>
                <w:spacing w:val="-4"/>
                <w:sz w:val="24"/>
                <w:szCs w:val="24"/>
              </w:rPr>
              <w:t>臂章</w:t>
            </w:r>
          </w:p>
        </w:tc>
        <w:tc>
          <w:tcPr>
            <w:tcW w:w="902" w:type="dxa"/>
            <w:vAlign w:val="top"/>
          </w:tcPr>
          <w:p w14:paraId="2777D40C">
            <w:pPr>
              <w:pStyle w:val="31"/>
              <w:spacing w:line="256" w:lineRule="auto"/>
            </w:pPr>
            <w:r>
              <w:rPr>
                <w:position w:val="-22"/>
              </w:rPr>
              <w:drawing>
                <wp:anchor distT="0" distB="0" distL="0" distR="0" simplePos="0" relativeHeight="251666432" behindDoc="0" locked="0" layoutInCell="1" allowOverlap="1">
                  <wp:simplePos x="0" y="0"/>
                  <wp:positionH relativeFrom="column">
                    <wp:posOffset>492125</wp:posOffset>
                  </wp:positionH>
                  <wp:positionV relativeFrom="paragraph">
                    <wp:posOffset>160020</wp:posOffset>
                  </wp:positionV>
                  <wp:extent cx="929005" cy="698500"/>
                  <wp:effectExtent l="0" t="0" r="4445" b="6350"/>
                  <wp:wrapNone/>
                  <wp:docPr id="20" name="IM 18"/>
                  <wp:cNvGraphicFramePr/>
                  <a:graphic xmlns:a="http://schemas.openxmlformats.org/drawingml/2006/main">
                    <a:graphicData uri="http://schemas.openxmlformats.org/drawingml/2006/picture">
                      <pic:pic xmlns:pic="http://schemas.openxmlformats.org/drawingml/2006/picture">
                        <pic:nvPicPr>
                          <pic:cNvPr id="20" name="IM 18"/>
                          <pic:cNvPicPr/>
                        </pic:nvPicPr>
                        <pic:blipFill>
                          <a:blip r:embed="rId16"/>
                          <a:stretch>
                            <a:fillRect/>
                          </a:stretch>
                        </pic:blipFill>
                        <pic:spPr>
                          <a:xfrm>
                            <a:off x="0" y="0"/>
                            <a:ext cx="929005" cy="698500"/>
                          </a:xfrm>
                          <a:prstGeom prst="rect">
                            <a:avLst/>
                          </a:prstGeom>
                        </pic:spPr>
                      </pic:pic>
                    </a:graphicData>
                  </a:graphic>
                </wp:anchor>
              </w:drawing>
            </w:r>
          </w:p>
          <w:p w14:paraId="18EE81ED">
            <w:pPr>
              <w:pStyle w:val="31"/>
              <w:spacing w:line="257" w:lineRule="auto"/>
            </w:pPr>
          </w:p>
          <w:p w14:paraId="4407819B">
            <w:pPr>
              <w:spacing w:before="78" w:line="220" w:lineRule="auto"/>
              <w:ind w:left="115" w:leftChars="0"/>
              <w:rPr>
                <w:rFonts w:hint="default" w:ascii="仿宋" w:hAnsi="仿宋" w:eastAsia="仿宋" w:cs="仿宋"/>
                <w:sz w:val="32"/>
                <w:szCs w:val="32"/>
                <w:vertAlign w:val="baseline"/>
                <w:lang w:val="en-US" w:eastAsia="zh-CN"/>
              </w:rPr>
            </w:pPr>
            <w:r>
              <w:rPr>
                <w:rFonts w:ascii="宋体" w:hAnsi="宋体" w:eastAsia="宋体" w:cs="宋体"/>
                <w:sz w:val="24"/>
                <w:szCs w:val="24"/>
              </w:rPr>
              <w:t>枚</w:t>
            </w:r>
          </w:p>
        </w:tc>
        <w:tc>
          <w:tcPr>
            <w:tcW w:w="1335" w:type="dxa"/>
            <w:vAlign w:val="top"/>
          </w:tcPr>
          <w:p w14:paraId="7FFFEAB8">
            <w:pPr>
              <w:pStyle w:val="31"/>
              <w:spacing w:line="339" w:lineRule="auto"/>
            </w:pPr>
          </w:p>
          <w:p w14:paraId="194BA55F">
            <w:pPr>
              <w:spacing w:line="1100" w:lineRule="exact"/>
              <w:ind w:firstLine="400" w:firstLineChars="0"/>
              <w:rPr>
                <w:rFonts w:hint="default" w:ascii="仿宋" w:hAnsi="仿宋" w:eastAsia="仿宋" w:cs="仿宋"/>
                <w:sz w:val="32"/>
                <w:szCs w:val="32"/>
                <w:vertAlign w:val="baseline"/>
                <w:lang w:val="en-US" w:eastAsia="zh-CN"/>
              </w:rPr>
            </w:pPr>
          </w:p>
        </w:tc>
        <w:tc>
          <w:tcPr>
            <w:tcW w:w="6385" w:type="dxa"/>
            <w:vAlign w:val="top"/>
          </w:tcPr>
          <w:p w14:paraId="1CB98747">
            <w:pPr>
              <w:spacing w:before="40" w:line="237" w:lineRule="auto"/>
              <w:ind w:left="113" w:leftChars="0" w:right="220" w:rightChars="0" w:firstLine="22" w:firstLineChars="0"/>
              <w:jc w:val="both"/>
              <w:rPr>
                <w:rFonts w:hint="default" w:ascii="仿宋" w:hAnsi="仿宋" w:eastAsia="仿宋" w:cs="仿宋"/>
                <w:sz w:val="32"/>
                <w:szCs w:val="32"/>
                <w:vertAlign w:val="baseline"/>
                <w:lang w:val="en-US" w:eastAsia="zh-CN"/>
              </w:rPr>
            </w:pPr>
            <w:r>
              <w:rPr>
                <w:rFonts w:ascii="宋体" w:hAnsi="宋体" w:eastAsia="宋体" w:cs="宋体"/>
                <w:spacing w:val="-4"/>
                <w:sz w:val="24"/>
                <w:szCs w:val="24"/>
              </w:rPr>
              <w:t>中间位置是“红花白十</w:t>
            </w:r>
            <w:r>
              <w:rPr>
                <w:rFonts w:ascii="宋体" w:hAnsi="宋体" w:eastAsia="宋体" w:cs="宋体"/>
                <w:spacing w:val="7"/>
                <w:sz w:val="24"/>
                <w:szCs w:val="24"/>
              </w:rPr>
              <w:t xml:space="preserve"> </w:t>
            </w:r>
            <w:r>
              <w:rPr>
                <w:rFonts w:ascii="宋体" w:hAnsi="宋体" w:eastAsia="宋体" w:cs="宋体"/>
                <w:spacing w:val="-5"/>
                <w:sz w:val="24"/>
                <w:szCs w:val="24"/>
              </w:rPr>
              <w:t>字</w:t>
            </w:r>
            <w:r>
              <w:rPr>
                <w:rFonts w:ascii="宋体" w:hAnsi="宋体" w:eastAsia="宋体" w:cs="宋体"/>
                <w:spacing w:val="-81"/>
                <w:sz w:val="24"/>
                <w:szCs w:val="24"/>
              </w:rPr>
              <w:t xml:space="preserve"> </w:t>
            </w:r>
            <w:r>
              <w:rPr>
                <w:rFonts w:ascii="宋体" w:hAnsi="宋体" w:eastAsia="宋体" w:cs="宋体"/>
                <w:spacing w:val="-5"/>
                <w:sz w:val="24"/>
                <w:szCs w:val="24"/>
              </w:rPr>
              <w:t>”图案，上下分别绣</w:t>
            </w:r>
            <w:r>
              <w:rPr>
                <w:rFonts w:ascii="宋体" w:hAnsi="宋体" w:eastAsia="宋体" w:cs="宋体"/>
                <w:sz w:val="24"/>
                <w:szCs w:val="24"/>
              </w:rPr>
              <w:t xml:space="preserve"> </w:t>
            </w:r>
            <w:r>
              <w:rPr>
                <w:rFonts w:ascii="宋体" w:hAnsi="宋体" w:eastAsia="宋体" w:cs="宋体"/>
                <w:spacing w:val="-1"/>
                <w:sz w:val="24"/>
                <w:szCs w:val="24"/>
              </w:rPr>
              <w:t>有地域名称和队伍处置</w:t>
            </w:r>
            <w:r>
              <w:rPr>
                <w:rFonts w:ascii="宋体" w:hAnsi="宋体" w:eastAsia="宋体" w:cs="宋体"/>
                <w:sz w:val="24"/>
                <w:szCs w:val="24"/>
              </w:rPr>
              <w:t xml:space="preserve"> </w:t>
            </w:r>
            <w:r>
              <w:rPr>
                <w:rFonts w:ascii="宋体" w:hAnsi="宋体" w:eastAsia="宋体" w:cs="宋体"/>
                <w:spacing w:val="-1"/>
                <w:sz w:val="24"/>
                <w:szCs w:val="24"/>
              </w:rPr>
              <w:t>类别。样式参照《国家</w:t>
            </w:r>
            <w:r>
              <w:rPr>
                <w:rFonts w:ascii="宋体" w:hAnsi="宋体" w:eastAsia="宋体" w:cs="宋体"/>
                <w:sz w:val="24"/>
                <w:szCs w:val="24"/>
              </w:rPr>
              <w:t xml:space="preserve"> </w:t>
            </w:r>
            <w:r>
              <w:rPr>
                <w:rFonts w:ascii="宋体" w:hAnsi="宋体" w:eastAsia="宋体" w:cs="宋体"/>
                <w:spacing w:val="-1"/>
                <w:sz w:val="24"/>
                <w:szCs w:val="24"/>
              </w:rPr>
              <w:t>卫生应急队伍标识》标</w:t>
            </w:r>
            <w:r>
              <w:rPr>
                <w:rFonts w:ascii="宋体" w:hAnsi="宋体" w:eastAsia="宋体" w:cs="宋体"/>
                <w:sz w:val="24"/>
                <w:szCs w:val="24"/>
              </w:rPr>
              <w:t xml:space="preserve"> </w:t>
            </w:r>
            <w:r>
              <w:rPr>
                <w:rFonts w:ascii="宋体" w:hAnsi="宋体" w:eastAsia="宋体" w:cs="宋体"/>
                <w:spacing w:val="-11"/>
                <w:sz w:val="24"/>
                <w:szCs w:val="24"/>
              </w:rPr>
              <w:t>准。</w:t>
            </w:r>
          </w:p>
        </w:tc>
      </w:tr>
      <w:tr w14:paraId="27B3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vAlign w:val="top"/>
          </w:tcPr>
          <w:p w14:paraId="785B8475">
            <w:pPr>
              <w:spacing w:before="78" w:line="220" w:lineRule="auto"/>
              <w:ind w:left="125"/>
              <w:rPr>
                <w:rFonts w:ascii="宋体" w:hAnsi="宋体" w:eastAsia="宋体" w:cs="宋体"/>
                <w:sz w:val="24"/>
                <w:szCs w:val="24"/>
              </w:rPr>
            </w:pPr>
            <w:r>
              <w:rPr>
                <w:rFonts w:ascii="宋体" w:hAnsi="宋体" w:eastAsia="宋体" w:cs="宋体"/>
                <w:spacing w:val="-3"/>
                <w:sz w:val="24"/>
                <w:szCs w:val="24"/>
              </w:rPr>
              <w:t>户外</w:t>
            </w:r>
          </w:p>
          <w:p w14:paraId="7829BDA0">
            <w:pPr>
              <w:spacing w:before="25" w:line="220" w:lineRule="auto"/>
              <w:ind w:left="147"/>
              <w:rPr>
                <w:rFonts w:ascii="宋体" w:hAnsi="宋体" w:eastAsia="宋体" w:cs="宋体"/>
                <w:sz w:val="24"/>
                <w:szCs w:val="24"/>
              </w:rPr>
            </w:pPr>
            <w:r>
              <w:rPr>
                <w:rFonts w:ascii="宋体" w:hAnsi="宋体" w:eastAsia="宋体" w:cs="宋体"/>
                <w:spacing w:val="-8"/>
                <w:sz w:val="24"/>
                <w:szCs w:val="24"/>
              </w:rPr>
              <w:t>四季</w:t>
            </w:r>
          </w:p>
          <w:p w14:paraId="71C16971">
            <w:pPr>
              <w:spacing w:before="26" w:line="220" w:lineRule="auto"/>
              <w:ind w:left="246" w:leftChars="0"/>
              <w:rPr>
                <w:rFonts w:hint="default" w:ascii="仿宋" w:hAnsi="仿宋" w:eastAsia="仿宋" w:cs="仿宋"/>
                <w:sz w:val="32"/>
                <w:szCs w:val="32"/>
                <w:vertAlign w:val="baseline"/>
                <w:lang w:val="en-US" w:eastAsia="zh-CN"/>
              </w:rPr>
            </w:pPr>
            <w:r>
              <w:rPr>
                <w:rFonts w:ascii="宋体" w:hAnsi="宋体" w:eastAsia="宋体" w:cs="宋体"/>
                <w:sz w:val="24"/>
                <w:szCs w:val="24"/>
              </w:rPr>
              <w:t>鞋</w:t>
            </w:r>
          </w:p>
        </w:tc>
        <w:tc>
          <w:tcPr>
            <w:tcW w:w="902" w:type="dxa"/>
            <w:vAlign w:val="top"/>
          </w:tcPr>
          <w:p w14:paraId="6F6A1B30">
            <w:pPr>
              <w:pStyle w:val="31"/>
              <w:spacing w:line="244" w:lineRule="auto"/>
            </w:pPr>
          </w:p>
          <w:p w14:paraId="640D6466">
            <w:pPr>
              <w:spacing w:before="78" w:line="225" w:lineRule="auto"/>
              <w:ind w:left="113" w:leftChars="0"/>
              <w:rPr>
                <w:rFonts w:hint="default" w:ascii="仿宋" w:hAnsi="仿宋" w:eastAsia="仿宋" w:cs="仿宋"/>
                <w:sz w:val="32"/>
                <w:szCs w:val="32"/>
                <w:vertAlign w:val="baseline"/>
                <w:lang w:val="en-US" w:eastAsia="zh-CN"/>
              </w:rPr>
            </w:pPr>
            <w:r>
              <w:rPr>
                <w:rFonts w:ascii="宋体" w:hAnsi="宋体" w:eastAsia="宋体" w:cs="宋体"/>
                <w:sz w:val="24"/>
                <w:szCs w:val="24"/>
              </w:rPr>
              <w:t>双</w:t>
            </w:r>
          </w:p>
        </w:tc>
        <w:tc>
          <w:tcPr>
            <w:tcW w:w="1335" w:type="dxa"/>
            <w:vAlign w:val="top"/>
          </w:tcPr>
          <w:p w14:paraId="072D2475">
            <w:pPr>
              <w:spacing w:before="149" w:line="1575" w:lineRule="exact"/>
              <w:ind w:firstLine="141" w:firstLineChars="0"/>
              <w:rPr>
                <w:rFonts w:hint="default" w:ascii="仿宋" w:hAnsi="仿宋" w:eastAsia="仿宋" w:cs="仿宋"/>
                <w:sz w:val="32"/>
                <w:szCs w:val="32"/>
                <w:vertAlign w:val="baseline"/>
                <w:lang w:val="en-US" w:eastAsia="zh-CN"/>
              </w:rPr>
            </w:pPr>
          </w:p>
        </w:tc>
        <w:tc>
          <w:tcPr>
            <w:tcW w:w="6385" w:type="dxa"/>
            <w:vAlign w:val="top"/>
          </w:tcPr>
          <w:p w14:paraId="4DAB2BC8">
            <w:pPr>
              <w:spacing w:before="191" w:line="219" w:lineRule="auto"/>
              <w:ind w:right="1"/>
              <w:jc w:val="both"/>
              <w:rPr>
                <w:rFonts w:hint="default" w:ascii="仿宋" w:hAnsi="仿宋" w:eastAsia="仿宋" w:cs="仿宋"/>
                <w:sz w:val="32"/>
                <w:szCs w:val="32"/>
                <w:vertAlign w:val="baseline"/>
                <w:lang w:val="en-US" w:eastAsia="zh-CN"/>
              </w:rPr>
            </w:pPr>
            <w:r>
              <w:rPr>
                <w:rFonts w:ascii="宋体" w:hAnsi="宋体" w:eastAsia="宋体" w:cs="宋体"/>
                <w:spacing w:val="-3"/>
                <w:sz w:val="24"/>
                <w:szCs w:val="24"/>
              </w:rPr>
              <w:t>鞋帮复合帆布（防泼水）</w:t>
            </w:r>
            <w:r>
              <w:rPr>
                <w:rFonts w:ascii="宋体" w:hAnsi="宋体" w:eastAsia="宋体" w:cs="宋体"/>
                <w:spacing w:val="2"/>
                <w:sz w:val="24"/>
                <w:szCs w:val="24"/>
              </w:rPr>
              <w:t>黑色面布 涤</w:t>
            </w:r>
            <w:r>
              <w:rPr>
                <w:rFonts w:ascii="宋体" w:hAnsi="宋体" w:eastAsia="宋体" w:cs="宋体"/>
                <w:spacing w:val="-48"/>
                <w:sz w:val="24"/>
                <w:szCs w:val="24"/>
              </w:rPr>
              <w:t xml:space="preserve"> </w:t>
            </w:r>
            <w:r>
              <w:rPr>
                <w:rFonts w:ascii="宋体" w:hAnsi="宋体" w:eastAsia="宋体" w:cs="宋体"/>
                <w:spacing w:val="2"/>
                <w:sz w:val="24"/>
                <w:szCs w:val="24"/>
              </w:rPr>
              <w:t>60/维20/</w:t>
            </w:r>
            <w:r>
              <w:rPr>
                <w:rFonts w:ascii="宋体" w:hAnsi="宋体" w:eastAsia="宋体" w:cs="宋体"/>
                <w:spacing w:val="-2"/>
                <w:sz w:val="24"/>
                <w:szCs w:val="24"/>
              </w:rPr>
              <w:t>棉</w:t>
            </w:r>
            <w:r>
              <w:rPr>
                <w:rFonts w:ascii="宋体" w:hAnsi="宋体" w:eastAsia="宋体" w:cs="宋体"/>
                <w:spacing w:val="-44"/>
                <w:sz w:val="24"/>
                <w:szCs w:val="24"/>
              </w:rPr>
              <w:t xml:space="preserve"> </w:t>
            </w:r>
            <w:r>
              <w:rPr>
                <w:rFonts w:ascii="宋体" w:hAnsi="宋体" w:eastAsia="宋体" w:cs="宋体"/>
                <w:spacing w:val="-2"/>
                <w:sz w:val="24"/>
                <w:szCs w:val="24"/>
              </w:rPr>
              <w:t>20，30s/3、 2/2</w:t>
            </w:r>
            <w:r>
              <w:rPr>
                <w:rFonts w:ascii="宋体" w:hAnsi="宋体" w:eastAsia="宋体" w:cs="宋体"/>
                <w:spacing w:val="-51"/>
                <w:sz w:val="24"/>
                <w:szCs w:val="24"/>
              </w:rPr>
              <w:t xml:space="preserve"> </w:t>
            </w:r>
            <w:r>
              <w:rPr>
                <w:rFonts w:ascii="宋体" w:hAnsi="宋体" w:eastAsia="宋体" w:cs="宋体"/>
                <w:spacing w:val="-2"/>
                <w:sz w:val="24"/>
                <w:szCs w:val="24"/>
              </w:rPr>
              <w:t>方</w:t>
            </w:r>
            <w:r>
              <w:rPr>
                <w:rFonts w:ascii="宋体" w:hAnsi="宋体" w:eastAsia="宋体" w:cs="宋体"/>
                <w:spacing w:val="-3"/>
                <w:sz w:val="24"/>
                <w:szCs w:val="24"/>
              </w:rPr>
              <w:t>平+深灰</w:t>
            </w:r>
            <w:r>
              <w:rPr>
                <w:rFonts w:ascii="宋体" w:hAnsi="宋体" w:eastAsia="宋体" w:cs="宋体"/>
                <w:spacing w:val="-37"/>
                <w:sz w:val="24"/>
                <w:szCs w:val="24"/>
              </w:rPr>
              <w:t xml:space="preserve"> </w:t>
            </w:r>
            <w:r>
              <w:rPr>
                <w:rFonts w:ascii="宋体" w:hAnsi="宋体" w:eastAsia="宋体" w:cs="宋体"/>
                <w:spacing w:val="-3"/>
                <w:sz w:val="24"/>
                <w:szCs w:val="24"/>
              </w:rPr>
              <w:t>389dtex</w:t>
            </w:r>
            <w:r>
              <w:rPr>
                <w:rFonts w:ascii="宋体" w:hAnsi="宋体" w:eastAsia="宋体" w:cs="宋体"/>
                <w:spacing w:val="-52"/>
                <w:sz w:val="24"/>
                <w:szCs w:val="24"/>
              </w:rPr>
              <w:t xml:space="preserve"> </w:t>
            </w:r>
            <w:r>
              <w:rPr>
                <w:rFonts w:ascii="宋体" w:hAnsi="宋体" w:eastAsia="宋体" w:cs="宋体"/>
                <w:spacing w:val="-3"/>
                <w:sz w:val="24"/>
                <w:szCs w:val="24"/>
              </w:rPr>
              <w:t>涤丝皱组织里布</w:t>
            </w:r>
          </w:p>
        </w:tc>
      </w:tr>
    </w:tbl>
    <w:p w14:paraId="7747BD86">
      <w:pPr>
        <w:pStyle w:val="15"/>
        <w:numPr>
          <w:ilvl w:val="0"/>
          <w:numId w:val="0"/>
        </w:numPr>
        <w:spacing w:line="240" w:lineRule="auto"/>
        <w:ind w:left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以上规格为一套（报价应报出具体单价、数量、总价）。</w:t>
      </w:r>
    </w:p>
    <w:p w14:paraId="48DEAFC2">
      <w:pPr>
        <w:pStyle w:val="15"/>
        <w:numPr>
          <w:ilvl w:val="0"/>
          <w:numId w:val="0"/>
        </w:numPr>
        <w:spacing w:line="240" w:lineRule="auto"/>
        <w:ind w:leftChars="0"/>
        <w:rPr>
          <w:rFonts w:hint="eastAsia" w:ascii="仿宋" w:hAnsi="仿宋" w:eastAsia="仿宋" w:cs="仿宋"/>
          <w:sz w:val="32"/>
          <w:szCs w:val="32"/>
          <w:lang w:val="en-US" w:eastAsia="zh-CN"/>
        </w:rPr>
      </w:pPr>
    </w:p>
    <w:p w14:paraId="683AE97D">
      <w:pPr>
        <w:pStyle w:val="15"/>
        <w:numPr>
          <w:ilvl w:val="0"/>
          <w:numId w:val="0"/>
        </w:numPr>
        <w:spacing w:line="240" w:lineRule="auto"/>
        <w:ind w:leftChars="0"/>
        <w:rPr>
          <w:rFonts w:hint="eastAsia" w:ascii="仿宋" w:hAnsi="仿宋" w:eastAsia="仿宋" w:cs="仿宋"/>
          <w:sz w:val="32"/>
          <w:szCs w:val="32"/>
          <w:lang w:val="en-US" w:eastAsia="zh-CN"/>
        </w:rPr>
      </w:pPr>
    </w:p>
    <w:p w14:paraId="5209AB70">
      <w:pPr>
        <w:pStyle w:val="15"/>
        <w:numPr>
          <w:ilvl w:val="0"/>
          <w:numId w:val="0"/>
        </w:numPr>
        <w:spacing w:line="240" w:lineRule="auto"/>
        <w:ind w:left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分类背囊和装备配置，总价21816元</w:t>
      </w:r>
    </w:p>
    <w:p w14:paraId="13570628">
      <w:pPr>
        <w:pStyle w:val="15"/>
        <w:numPr>
          <w:ilvl w:val="0"/>
          <w:numId w:val="0"/>
        </w:numPr>
        <w:spacing w:line="240" w:lineRule="auto"/>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(一)单兵处置背囊</w:t>
      </w:r>
    </w:p>
    <w:tbl>
      <w:tblPr>
        <w:tblStyle w:val="17"/>
        <w:tblW w:w="9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3"/>
        <w:gridCol w:w="945"/>
        <w:gridCol w:w="1140"/>
        <w:gridCol w:w="1200"/>
        <w:gridCol w:w="4829"/>
      </w:tblGrid>
      <w:tr w14:paraId="0451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643" w:type="dxa"/>
            <w:shd w:val="clear" w:color="auto" w:fill="auto"/>
            <w:vAlign w:val="top"/>
          </w:tcPr>
          <w:p w14:paraId="48F0C5B5">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产品名称</w:t>
            </w:r>
          </w:p>
        </w:tc>
        <w:tc>
          <w:tcPr>
            <w:tcW w:w="945" w:type="dxa"/>
            <w:shd w:val="clear" w:color="auto" w:fill="auto"/>
            <w:vAlign w:val="top"/>
          </w:tcPr>
          <w:p w14:paraId="4D4A5C5B">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单位</w:t>
            </w:r>
          </w:p>
        </w:tc>
        <w:tc>
          <w:tcPr>
            <w:tcW w:w="1140" w:type="dxa"/>
            <w:shd w:val="clear" w:color="auto" w:fill="auto"/>
            <w:vAlign w:val="top"/>
          </w:tcPr>
          <w:p w14:paraId="6FA12740">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数量</w:t>
            </w:r>
          </w:p>
        </w:tc>
        <w:tc>
          <w:tcPr>
            <w:tcW w:w="1200" w:type="dxa"/>
            <w:shd w:val="clear" w:color="auto" w:fill="auto"/>
            <w:vAlign w:val="top"/>
          </w:tcPr>
          <w:p w14:paraId="1AE9D4EA">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预算</w:t>
            </w:r>
          </w:p>
        </w:tc>
        <w:tc>
          <w:tcPr>
            <w:tcW w:w="4829" w:type="dxa"/>
            <w:shd w:val="clear" w:color="auto" w:fill="auto"/>
            <w:vAlign w:val="top"/>
          </w:tcPr>
          <w:p w14:paraId="4ACDAF3E">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功能要求</w:t>
            </w:r>
          </w:p>
        </w:tc>
      </w:tr>
      <w:tr w14:paraId="0CAC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43" w:type="dxa"/>
            <w:shd w:val="clear" w:color="auto" w:fill="auto"/>
            <w:vAlign w:val="top"/>
          </w:tcPr>
          <w:p w14:paraId="0DAB4DD3">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携挎包/腰包</w:t>
            </w:r>
          </w:p>
        </w:tc>
        <w:tc>
          <w:tcPr>
            <w:tcW w:w="945" w:type="dxa"/>
            <w:shd w:val="clear" w:color="auto" w:fill="auto"/>
            <w:vAlign w:val="top"/>
          </w:tcPr>
          <w:p w14:paraId="65A5AE9C">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个</w:t>
            </w:r>
          </w:p>
        </w:tc>
        <w:tc>
          <w:tcPr>
            <w:tcW w:w="1140" w:type="dxa"/>
            <w:shd w:val="clear" w:color="auto" w:fill="auto"/>
            <w:vAlign w:val="top"/>
          </w:tcPr>
          <w:p w14:paraId="10D8466A">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4</w:t>
            </w:r>
          </w:p>
        </w:tc>
        <w:tc>
          <w:tcPr>
            <w:tcW w:w="1200" w:type="dxa"/>
            <w:shd w:val="clear" w:color="auto" w:fill="auto"/>
            <w:vAlign w:val="top"/>
          </w:tcPr>
          <w:p w14:paraId="453D48E1">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260</w:t>
            </w:r>
          </w:p>
        </w:tc>
        <w:tc>
          <w:tcPr>
            <w:tcW w:w="4829" w:type="dxa"/>
            <w:shd w:val="clear" w:color="auto" w:fill="auto"/>
            <w:vAlign w:val="top"/>
          </w:tcPr>
          <w:p w14:paraId="62704431">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分隔系统，色标；物品卡、收纳袋(具备背负带、承重4kg)</w:t>
            </w:r>
          </w:p>
          <w:p w14:paraId="66A5F301">
            <w:pPr>
              <w:spacing w:before="191" w:line="219" w:lineRule="auto"/>
              <w:ind w:right="1"/>
              <w:jc w:val="left"/>
              <w:rPr>
                <w:rFonts w:hint="default" w:ascii="宋体" w:hAnsi="宋体" w:cs="宋体" w:eastAsiaTheme="minorEastAsia"/>
                <w:spacing w:val="-3"/>
                <w:sz w:val="24"/>
                <w:szCs w:val="24"/>
                <w:lang w:val="en-US" w:eastAsia="zh-CN"/>
              </w:rPr>
            </w:pPr>
            <w:r>
              <w:rPr>
                <w:position w:val="-49"/>
              </w:rPr>
              <w:drawing>
                <wp:inline distT="0" distB="0" distL="0" distR="0">
                  <wp:extent cx="1435735" cy="1578610"/>
                  <wp:effectExtent l="0" t="0" r="12065" b="254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7"/>
                          <a:stretch>
                            <a:fillRect/>
                          </a:stretch>
                        </pic:blipFill>
                        <pic:spPr>
                          <a:xfrm>
                            <a:off x="0" y="0"/>
                            <a:ext cx="1435735" cy="1579100"/>
                          </a:xfrm>
                          <a:prstGeom prst="rect">
                            <a:avLst/>
                          </a:prstGeom>
                        </pic:spPr>
                      </pic:pic>
                    </a:graphicData>
                  </a:graphic>
                </wp:inline>
              </w:drawing>
            </w:r>
            <w:r>
              <w:rPr>
                <w:rFonts w:hint="eastAsia"/>
                <w:position w:val="-49"/>
                <w:lang w:val="en-US" w:eastAsia="zh-CN"/>
              </w:rPr>
              <w:t>仅做参考</w:t>
            </w:r>
          </w:p>
        </w:tc>
      </w:tr>
      <w:tr w14:paraId="78204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43" w:type="dxa"/>
            <w:shd w:val="clear" w:color="auto" w:fill="auto"/>
            <w:vAlign w:val="top"/>
          </w:tcPr>
          <w:p w14:paraId="567BACAE">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对讲机</w:t>
            </w:r>
          </w:p>
        </w:tc>
        <w:tc>
          <w:tcPr>
            <w:tcW w:w="945" w:type="dxa"/>
            <w:shd w:val="clear" w:color="auto" w:fill="auto"/>
            <w:vAlign w:val="top"/>
          </w:tcPr>
          <w:p w14:paraId="09381790">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个</w:t>
            </w:r>
          </w:p>
        </w:tc>
        <w:tc>
          <w:tcPr>
            <w:tcW w:w="1140" w:type="dxa"/>
            <w:shd w:val="clear" w:color="auto" w:fill="auto"/>
            <w:vAlign w:val="top"/>
          </w:tcPr>
          <w:p w14:paraId="1CD28730">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4</w:t>
            </w:r>
          </w:p>
        </w:tc>
        <w:tc>
          <w:tcPr>
            <w:tcW w:w="1200" w:type="dxa"/>
            <w:shd w:val="clear" w:color="auto" w:fill="auto"/>
            <w:vAlign w:val="top"/>
          </w:tcPr>
          <w:p w14:paraId="4F44F9D2">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4400</w:t>
            </w:r>
          </w:p>
        </w:tc>
        <w:tc>
          <w:tcPr>
            <w:tcW w:w="4829" w:type="dxa"/>
            <w:shd w:val="clear" w:color="auto" w:fill="auto"/>
            <w:vAlign w:val="top"/>
          </w:tcPr>
          <w:p w14:paraId="5F9455DC">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技术要求：DMR数模对讲；蓝牙无线耳麦（210）；空旷区域距离&gt;5 公里；写频线2根，写频软件1套（160）</w:t>
            </w:r>
          </w:p>
        </w:tc>
      </w:tr>
      <w:tr w14:paraId="2899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43" w:type="dxa"/>
            <w:shd w:val="clear" w:color="auto" w:fill="auto"/>
            <w:vAlign w:val="top"/>
          </w:tcPr>
          <w:p w14:paraId="29122EF8">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卫星电话</w:t>
            </w:r>
          </w:p>
        </w:tc>
        <w:tc>
          <w:tcPr>
            <w:tcW w:w="945" w:type="dxa"/>
            <w:shd w:val="clear" w:color="auto" w:fill="auto"/>
            <w:vAlign w:val="top"/>
          </w:tcPr>
          <w:p w14:paraId="093011A2">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个</w:t>
            </w:r>
          </w:p>
        </w:tc>
        <w:tc>
          <w:tcPr>
            <w:tcW w:w="1140" w:type="dxa"/>
            <w:shd w:val="clear" w:color="auto" w:fill="auto"/>
            <w:vAlign w:val="top"/>
          </w:tcPr>
          <w:p w14:paraId="19D48A77">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p>
        </w:tc>
        <w:tc>
          <w:tcPr>
            <w:tcW w:w="1200" w:type="dxa"/>
            <w:shd w:val="clear" w:color="auto" w:fill="auto"/>
            <w:vAlign w:val="top"/>
          </w:tcPr>
          <w:p w14:paraId="6C109BCA">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9800</w:t>
            </w:r>
          </w:p>
        </w:tc>
        <w:tc>
          <w:tcPr>
            <w:tcW w:w="4829" w:type="dxa"/>
            <w:shd w:val="clear" w:color="auto" w:fill="auto"/>
            <w:vAlign w:val="top"/>
          </w:tcPr>
          <w:p w14:paraId="56C08FF0">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天通卫星电话+北斗短报文+北斗定位；可扩展便携网关实现IP 互联。含第一年卫星电话卡及通信费</w:t>
            </w:r>
          </w:p>
        </w:tc>
      </w:tr>
      <w:tr w14:paraId="4F63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43" w:type="dxa"/>
            <w:shd w:val="clear" w:color="auto" w:fill="auto"/>
            <w:vAlign w:val="top"/>
          </w:tcPr>
          <w:p w14:paraId="718E2F52">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笔形电筒</w:t>
            </w:r>
          </w:p>
        </w:tc>
        <w:tc>
          <w:tcPr>
            <w:tcW w:w="945" w:type="dxa"/>
            <w:shd w:val="clear" w:color="auto" w:fill="auto"/>
            <w:vAlign w:val="top"/>
          </w:tcPr>
          <w:p w14:paraId="6AB688C0">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个</w:t>
            </w:r>
          </w:p>
        </w:tc>
        <w:tc>
          <w:tcPr>
            <w:tcW w:w="1140" w:type="dxa"/>
            <w:shd w:val="clear" w:color="auto" w:fill="auto"/>
            <w:vAlign w:val="top"/>
          </w:tcPr>
          <w:p w14:paraId="2237F0E2">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4</w:t>
            </w:r>
          </w:p>
        </w:tc>
        <w:tc>
          <w:tcPr>
            <w:tcW w:w="1200" w:type="dxa"/>
            <w:shd w:val="clear" w:color="auto" w:fill="auto"/>
            <w:vAlign w:val="top"/>
          </w:tcPr>
          <w:p w14:paraId="1AB535E6">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120</w:t>
            </w:r>
          </w:p>
        </w:tc>
        <w:tc>
          <w:tcPr>
            <w:tcW w:w="4829" w:type="dxa"/>
            <w:shd w:val="clear" w:color="auto" w:fill="auto"/>
            <w:vAlign w:val="top"/>
          </w:tcPr>
          <w:p w14:paraId="0780B284">
            <w:pPr>
              <w:spacing w:before="191" w:line="219" w:lineRule="auto"/>
              <w:ind w:right="1"/>
              <w:jc w:val="left"/>
              <w:rPr>
                <w:rFonts w:hint="default" w:ascii="宋体" w:hAnsi="宋体" w:eastAsia="宋体" w:cs="宋体"/>
                <w:spacing w:val="-3"/>
                <w:sz w:val="24"/>
                <w:szCs w:val="24"/>
                <w:lang w:val="en-US" w:eastAsia="zh-CN"/>
              </w:rPr>
            </w:pPr>
          </w:p>
        </w:tc>
      </w:tr>
      <w:tr w14:paraId="264E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43" w:type="dxa"/>
            <w:shd w:val="clear" w:color="auto" w:fill="auto"/>
            <w:vAlign w:val="top"/>
          </w:tcPr>
          <w:p w14:paraId="64F6729C">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头灯</w:t>
            </w:r>
          </w:p>
        </w:tc>
        <w:tc>
          <w:tcPr>
            <w:tcW w:w="945" w:type="dxa"/>
            <w:shd w:val="clear" w:color="auto" w:fill="auto"/>
            <w:vAlign w:val="top"/>
          </w:tcPr>
          <w:p w14:paraId="00EDD3E6">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个</w:t>
            </w:r>
          </w:p>
        </w:tc>
        <w:tc>
          <w:tcPr>
            <w:tcW w:w="1140" w:type="dxa"/>
            <w:shd w:val="clear" w:color="auto" w:fill="auto"/>
            <w:vAlign w:val="top"/>
          </w:tcPr>
          <w:p w14:paraId="2DEBA183">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4</w:t>
            </w:r>
          </w:p>
        </w:tc>
        <w:tc>
          <w:tcPr>
            <w:tcW w:w="1200" w:type="dxa"/>
            <w:shd w:val="clear" w:color="auto" w:fill="auto"/>
            <w:vAlign w:val="top"/>
          </w:tcPr>
          <w:p w14:paraId="0D3876C1">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80</w:t>
            </w:r>
          </w:p>
        </w:tc>
        <w:tc>
          <w:tcPr>
            <w:tcW w:w="4829" w:type="dxa"/>
            <w:shd w:val="clear" w:color="auto" w:fill="auto"/>
            <w:vAlign w:val="top"/>
          </w:tcPr>
          <w:p w14:paraId="0773FD86">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200-999流明、0-199米、AA/AAA14500、Type-C USP</w:t>
            </w:r>
          </w:p>
        </w:tc>
      </w:tr>
      <w:tr w14:paraId="0295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43" w:type="dxa"/>
            <w:shd w:val="clear" w:color="auto" w:fill="auto"/>
            <w:vAlign w:val="top"/>
          </w:tcPr>
          <w:p w14:paraId="25A4456E">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笔/记录本</w:t>
            </w:r>
          </w:p>
        </w:tc>
        <w:tc>
          <w:tcPr>
            <w:tcW w:w="945" w:type="dxa"/>
            <w:shd w:val="clear" w:color="auto" w:fill="auto"/>
            <w:vAlign w:val="top"/>
          </w:tcPr>
          <w:p w14:paraId="745D3217">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套</w:t>
            </w:r>
          </w:p>
        </w:tc>
        <w:tc>
          <w:tcPr>
            <w:tcW w:w="1140" w:type="dxa"/>
            <w:shd w:val="clear" w:color="auto" w:fill="auto"/>
            <w:vAlign w:val="top"/>
          </w:tcPr>
          <w:p w14:paraId="766965C1">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4</w:t>
            </w:r>
          </w:p>
        </w:tc>
        <w:tc>
          <w:tcPr>
            <w:tcW w:w="1200" w:type="dxa"/>
            <w:shd w:val="clear" w:color="auto" w:fill="auto"/>
            <w:vAlign w:val="top"/>
          </w:tcPr>
          <w:p w14:paraId="77FB93C7">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40</w:t>
            </w:r>
          </w:p>
        </w:tc>
        <w:tc>
          <w:tcPr>
            <w:tcW w:w="4829" w:type="dxa"/>
            <w:shd w:val="clear" w:color="auto" w:fill="auto"/>
            <w:vAlign w:val="top"/>
          </w:tcPr>
          <w:p w14:paraId="38635152">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带卡板</w:t>
            </w:r>
          </w:p>
        </w:tc>
      </w:tr>
      <w:tr w14:paraId="7FAA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643" w:type="dxa"/>
            <w:shd w:val="clear" w:color="auto" w:fill="auto"/>
            <w:vAlign w:val="top"/>
          </w:tcPr>
          <w:p w14:paraId="493F3364">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安全剪刀</w:t>
            </w:r>
          </w:p>
        </w:tc>
        <w:tc>
          <w:tcPr>
            <w:tcW w:w="945" w:type="dxa"/>
            <w:shd w:val="clear" w:color="auto" w:fill="auto"/>
            <w:vAlign w:val="top"/>
          </w:tcPr>
          <w:p w14:paraId="3106D7DA">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把</w:t>
            </w:r>
          </w:p>
        </w:tc>
        <w:tc>
          <w:tcPr>
            <w:tcW w:w="1140" w:type="dxa"/>
            <w:shd w:val="clear" w:color="auto" w:fill="auto"/>
            <w:vAlign w:val="top"/>
          </w:tcPr>
          <w:p w14:paraId="1E88D1B3">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4</w:t>
            </w:r>
          </w:p>
        </w:tc>
        <w:tc>
          <w:tcPr>
            <w:tcW w:w="1200" w:type="dxa"/>
            <w:shd w:val="clear" w:color="auto" w:fill="auto"/>
            <w:vAlign w:val="top"/>
          </w:tcPr>
          <w:p w14:paraId="7AC197CF">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60</w:t>
            </w:r>
          </w:p>
        </w:tc>
        <w:tc>
          <w:tcPr>
            <w:tcW w:w="4829" w:type="dxa"/>
            <w:shd w:val="clear" w:color="auto" w:fill="auto"/>
            <w:vAlign w:val="top"/>
          </w:tcPr>
          <w:p w14:paraId="14C9C452">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金属手柄</w:t>
            </w:r>
          </w:p>
        </w:tc>
      </w:tr>
      <w:tr w14:paraId="1A34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43" w:type="dxa"/>
            <w:shd w:val="clear" w:color="auto" w:fill="auto"/>
            <w:vAlign w:val="top"/>
          </w:tcPr>
          <w:p w14:paraId="3758ADF7">
            <w:pPr>
              <w:spacing w:before="191" w:line="219" w:lineRule="auto"/>
              <w:ind w:right="1"/>
              <w:jc w:val="left"/>
              <w:rPr>
                <w:rFonts w:hint="eastAsia" w:ascii="宋体" w:hAnsi="宋体" w:eastAsia="宋体" w:cs="宋体"/>
                <w:spacing w:val="-3"/>
                <w:sz w:val="24"/>
                <w:szCs w:val="24"/>
                <w:lang w:val="en-US" w:eastAsia="zh-CN"/>
              </w:rPr>
            </w:pPr>
          </w:p>
        </w:tc>
        <w:tc>
          <w:tcPr>
            <w:tcW w:w="945" w:type="dxa"/>
            <w:shd w:val="clear" w:color="auto" w:fill="auto"/>
            <w:vAlign w:val="top"/>
          </w:tcPr>
          <w:p w14:paraId="7348F956">
            <w:pPr>
              <w:spacing w:before="191" w:line="219" w:lineRule="auto"/>
              <w:ind w:right="1"/>
              <w:jc w:val="left"/>
              <w:rPr>
                <w:rFonts w:hint="eastAsia" w:ascii="宋体" w:hAnsi="宋体" w:eastAsia="宋体" w:cs="宋体"/>
                <w:spacing w:val="-3"/>
                <w:sz w:val="24"/>
                <w:szCs w:val="24"/>
                <w:lang w:val="en-US" w:eastAsia="zh-CN"/>
              </w:rPr>
            </w:pPr>
          </w:p>
        </w:tc>
        <w:tc>
          <w:tcPr>
            <w:tcW w:w="1140" w:type="dxa"/>
            <w:shd w:val="clear" w:color="auto" w:fill="auto"/>
            <w:vAlign w:val="top"/>
          </w:tcPr>
          <w:p w14:paraId="5170BB75">
            <w:pPr>
              <w:spacing w:before="191" w:line="219" w:lineRule="auto"/>
              <w:ind w:right="1"/>
              <w:jc w:val="left"/>
              <w:rPr>
                <w:rFonts w:hint="eastAsia" w:ascii="宋体" w:hAnsi="宋体" w:eastAsia="宋体" w:cs="宋体"/>
                <w:spacing w:val="-3"/>
                <w:sz w:val="24"/>
                <w:szCs w:val="24"/>
                <w:lang w:val="en-US" w:eastAsia="zh-CN"/>
              </w:rPr>
            </w:pPr>
          </w:p>
        </w:tc>
        <w:tc>
          <w:tcPr>
            <w:tcW w:w="1200" w:type="dxa"/>
            <w:shd w:val="clear" w:color="auto" w:fill="auto"/>
            <w:vAlign w:val="top"/>
          </w:tcPr>
          <w:p w14:paraId="46D04DDC">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14760</w:t>
            </w:r>
          </w:p>
        </w:tc>
        <w:tc>
          <w:tcPr>
            <w:tcW w:w="4829" w:type="dxa"/>
            <w:shd w:val="clear" w:color="auto" w:fill="auto"/>
            <w:vAlign w:val="top"/>
          </w:tcPr>
          <w:p w14:paraId="43CB8CB0">
            <w:pPr>
              <w:spacing w:before="191" w:line="219" w:lineRule="auto"/>
              <w:ind w:right="1"/>
              <w:jc w:val="left"/>
              <w:rPr>
                <w:rFonts w:hint="eastAsia" w:ascii="宋体" w:hAnsi="宋体" w:eastAsia="宋体" w:cs="宋体"/>
                <w:spacing w:val="-3"/>
                <w:sz w:val="24"/>
                <w:szCs w:val="24"/>
                <w:lang w:val="en-US" w:eastAsia="zh-CN"/>
              </w:rPr>
            </w:pPr>
          </w:p>
        </w:tc>
      </w:tr>
    </w:tbl>
    <w:p w14:paraId="3E175B31">
      <w:pPr>
        <w:pStyle w:val="15"/>
        <w:numPr>
          <w:ilvl w:val="0"/>
          <w:numId w:val="0"/>
        </w:numPr>
        <w:spacing w:line="240" w:lineRule="auto"/>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(二)检伤处置背囊</w:t>
      </w:r>
    </w:p>
    <w:p w14:paraId="1E1EB97D">
      <w:pPr>
        <w:spacing w:before="191" w:line="219" w:lineRule="auto"/>
        <w:ind w:right="1"/>
        <w:jc w:val="left"/>
        <w:rPr>
          <w:rFonts w:hint="default" w:ascii="宋体" w:hAnsi="宋体" w:eastAsia="宋体" w:cs="宋体"/>
          <w:spacing w:val="-3"/>
          <w:sz w:val="24"/>
          <w:szCs w:val="24"/>
          <w:lang w:val="en-US" w:eastAsia="zh-CN"/>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1002"/>
        <w:gridCol w:w="1215"/>
        <w:gridCol w:w="1515"/>
        <w:gridCol w:w="3970"/>
      </w:tblGrid>
      <w:tr w14:paraId="110B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14:paraId="5A6F64F5">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产品名称</w:t>
            </w:r>
          </w:p>
        </w:tc>
        <w:tc>
          <w:tcPr>
            <w:tcW w:w="1002" w:type="dxa"/>
            <w:vAlign w:val="top"/>
          </w:tcPr>
          <w:p w14:paraId="50F883EF">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单位</w:t>
            </w:r>
          </w:p>
        </w:tc>
        <w:tc>
          <w:tcPr>
            <w:tcW w:w="1215" w:type="dxa"/>
            <w:vAlign w:val="top"/>
          </w:tcPr>
          <w:p w14:paraId="7EB0B6A3">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数量</w:t>
            </w:r>
          </w:p>
        </w:tc>
        <w:tc>
          <w:tcPr>
            <w:tcW w:w="1515" w:type="dxa"/>
            <w:vAlign w:val="top"/>
          </w:tcPr>
          <w:p w14:paraId="22C74908">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预算</w:t>
            </w:r>
          </w:p>
        </w:tc>
        <w:tc>
          <w:tcPr>
            <w:tcW w:w="3970" w:type="dxa"/>
            <w:vAlign w:val="top"/>
          </w:tcPr>
          <w:p w14:paraId="3C22D48F">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功能要求</w:t>
            </w:r>
          </w:p>
        </w:tc>
      </w:tr>
      <w:tr w14:paraId="05ED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auto"/>
            <w:vAlign w:val="top"/>
          </w:tcPr>
          <w:p w14:paraId="7E46380F">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color w:val="FF0000"/>
                <w:spacing w:val="-3"/>
                <w:sz w:val="24"/>
                <w:szCs w:val="24"/>
                <w:lang w:val="en-US" w:eastAsia="zh-CN"/>
              </w:rPr>
              <w:t>分类背囊</w:t>
            </w:r>
          </w:p>
        </w:tc>
        <w:tc>
          <w:tcPr>
            <w:tcW w:w="1002" w:type="dxa"/>
            <w:shd w:val="clear" w:color="auto" w:fill="auto"/>
            <w:vAlign w:val="top"/>
          </w:tcPr>
          <w:p w14:paraId="21DE4274">
            <w:pPr>
              <w:spacing w:before="191" w:line="219" w:lineRule="auto"/>
              <w:ind w:right="1"/>
              <w:jc w:val="left"/>
              <w:rPr>
                <w:rFonts w:hint="eastAsia" w:ascii="宋体" w:hAnsi="宋体" w:eastAsia="宋体" w:cs="宋体"/>
                <w:spacing w:val="-3"/>
                <w:sz w:val="24"/>
                <w:szCs w:val="24"/>
                <w:lang w:val="en-US" w:eastAsia="zh-CN"/>
              </w:rPr>
            </w:pPr>
          </w:p>
        </w:tc>
        <w:tc>
          <w:tcPr>
            <w:tcW w:w="1215" w:type="dxa"/>
            <w:shd w:val="clear" w:color="auto" w:fill="auto"/>
            <w:vAlign w:val="top"/>
          </w:tcPr>
          <w:p w14:paraId="2C3DA2C9">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p>
        </w:tc>
        <w:tc>
          <w:tcPr>
            <w:tcW w:w="1515" w:type="dxa"/>
            <w:shd w:val="clear" w:color="auto" w:fill="auto"/>
            <w:vAlign w:val="top"/>
          </w:tcPr>
          <w:p w14:paraId="106A13BE">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460</w:t>
            </w:r>
          </w:p>
        </w:tc>
        <w:tc>
          <w:tcPr>
            <w:tcW w:w="3970" w:type="dxa"/>
            <w:shd w:val="clear" w:color="auto" w:fill="auto"/>
            <w:vAlign w:val="top"/>
          </w:tcPr>
          <w:p w14:paraId="2B3C4952">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背负系统，分隔系统，载具系统，色标，物品卡</w:t>
            </w:r>
          </w:p>
          <w:p w14:paraId="1525CC85">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背包和</w:t>
            </w:r>
            <w:r>
              <w:rPr>
                <w:rFonts w:ascii="宋体" w:hAnsi="宋体" w:eastAsia="宋体" w:cs="宋体"/>
                <w:spacing w:val="-2"/>
                <w:sz w:val="24"/>
                <w:szCs w:val="24"/>
              </w:rPr>
              <w:t>铝合金背架</w:t>
            </w:r>
            <w:r>
              <w:rPr>
                <w:rFonts w:hint="eastAsia" w:ascii="宋体" w:hAnsi="宋体" w:eastAsia="宋体" w:cs="宋体"/>
                <w:spacing w:val="-2"/>
                <w:sz w:val="24"/>
                <w:szCs w:val="24"/>
                <w:lang w:val="en-US" w:eastAsia="zh-CN"/>
              </w:rPr>
              <w:t>可单独使用</w:t>
            </w:r>
          </w:p>
          <w:p w14:paraId="49629AE0">
            <w:pPr>
              <w:spacing w:before="191" w:line="219" w:lineRule="auto"/>
              <w:ind w:right="1"/>
              <w:jc w:val="left"/>
              <w:rPr>
                <w:rFonts w:hint="eastAsia" w:ascii="宋体" w:hAnsi="宋体" w:eastAsia="宋体" w:cs="宋体"/>
                <w:spacing w:val="-3"/>
                <w:sz w:val="24"/>
                <w:szCs w:val="24"/>
                <w:lang w:val="en-US" w:eastAsia="zh-CN"/>
              </w:rPr>
            </w:pPr>
            <w:r>
              <w:rPr>
                <w:position w:val="-43"/>
              </w:rPr>
              <w:drawing>
                <wp:inline distT="0" distB="0" distL="0" distR="0">
                  <wp:extent cx="1249680" cy="1393190"/>
                  <wp:effectExtent l="0" t="0" r="7620" b="16510"/>
                  <wp:docPr id="5" name="IM 28"/>
                  <wp:cNvGraphicFramePr/>
                  <a:graphic xmlns:a="http://schemas.openxmlformats.org/drawingml/2006/main">
                    <a:graphicData uri="http://schemas.openxmlformats.org/drawingml/2006/picture">
                      <pic:pic xmlns:pic="http://schemas.openxmlformats.org/drawingml/2006/picture">
                        <pic:nvPicPr>
                          <pic:cNvPr id="5" name="IM 28"/>
                          <pic:cNvPicPr/>
                        </pic:nvPicPr>
                        <pic:blipFill>
                          <a:blip r:embed="rId18"/>
                          <a:stretch>
                            <a:fillRect/>
                          </a:stretch>
                        </pic:blipFill>
                        <pic:spPr>
                          <a:xfrm>
                            <a:off x="0" y="0"/>
                            <a:ext cx="1249680" cy="1393190"/>
                          </a:xfrm>
                          <a:prstGeom prst="rect">
                            <a:avLst/>
                          </a:prstGeom>
                        </pic:spPr>
                      </pic:pic>
                    </a:graphicData>
                  </a:graphic>
                </wp:inline>
              </w:drawing>
            </w:r>
            <w:r>
              <w:rPr>
                <w:position w:val="-46"/>
              </w:rPr>
              <w:drawing>
                <wp:inline distT="0" distB="0" distL="0" distR="0">
                  <wp:extent cx="1151255" cy="1478280"/>
                  <wp:effectExtent l="0" t="0" r="10795" b="762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9"/>
                          <a:stretch>
                            <a:fillRect/>
                          </a:stretch>
                        </pic:blipFill>
                        <pic:spPr>
                          <a:xfrm>
                            <a:off x="0" y="0"/>
                            <a:ext cx="1151889" cy="1478280"/>
                          </a:xfrm>
                          <a:prstGeom prst="rect">
                            <a:avLst/>
                          </a:prstGeom>
                        </pic:spPr>
                      </pic:pic>
                    </a:graphicData>
                  </a:graphic>
                </wp:inline>
              </w:drawing>
            </w:r>
            <w:r>
              <w:rPr>
                <w:rFonts w:hint="eastAsia" w:ascii="宋体" w:hAnsi="宋体" w:eastAsia="宋体" w:cs="宋体"/>
                <w:spacing w:val="-3"/>
                <w:sz w:val="24"/>
                <w:szCs w:val="24"/>
                <w:lang w:val="en-US" w:eastAsia="zh-CN"/>
              </w:rPr>
              <w:t>仅做参考</w:t>
            </w:r>
          </w:p>
        </w:tc>
      </w:tr>
      <w:tr w14:paraId="322D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auto"/>
            <w:vAlign w:val="top"/>
          </w:tcPr>
          <w:p w14:paraId="7F59E9A0">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报警口哨</w:t>
            </w:r>
          </w:p>
        </w:tc>
        <w:tc>
          <w:tcPr>
            <w:tcW w:w="1002" w:type="dxa"/>
            <w:shd w:val="clear" w:color="auto" w:fill="auto"/>
            <w:vAlign w:val="top"/>
          </w:tcPr>
          <w:p w14:paraId="6C1100D9">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个</w:t>
            </w:r>
          </w:p>
        </w:tc>
        <w:tc>
          <w:tcPr>
            <w:tcW w:w="1215" w:type="dxa"/>
            <w:shd w:val="clear" w:color="auto" w:fill="auto"/>
            <w:vAlign w:val="top"/>
          </w:tcPr>
          <w:p w14:paraId="4B0425B3">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w:t>
            </w:r>
          </w:p>
        </w:tc>
        <w:tc>
          <w:tcPr>
            <w:tcW w:w="1515" w:type="dxa"/>
            <w:shd w:val="clear" w:color="auto" w:fill="auto"/>
            <w:vAlign w:val="top"/>
          </w:tcPr>
          <w:p w14:paraId="2C4FB3A3">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6</w:t>
            </w:r>
          </w:p>
        </w:tc>
        <w:tc>
          <w:tcPr>
            <w:tcW w:w="3970" w:type="dxa"/>
            <w:shd w:val="clear" w:color="auto" w:fill="auto"/>
            <w:vAlign w:val="top"/>
          </w:tcPr>
          <w:p w14:paraId="1A8C0001">
            <w:pPr>
              <w:spacing w:before="191" w:line="219" w:lineRule="auto"/>
              <w:ind w:right="1"/>
              <w:jc w:val="left"/>
              <w:rPr>
                <w:rFonts w:hint="eastAsia" w:ascii="宋体" w:hAnsi="宋体" w:eastAsia="宋体" w:cs="宋体"/>
                <w:spacing w:val="-3"/>
                <w:sz w:val="24"/>
                <w:szCs w:val="24"/>
                <w:lang w:val="en-US" w:eastAsia="zh-CN"/>
              </w:rPr>
            </w:pPr>
          </w:p>
        </w:tc>
      </w:tr>
      <w:tr w14:paraId="5573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auto"/>
            <w:vAlign w:val="top"/>
          </w:tcPr>
          <w:p w14:paraId="7730E91E">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手持扩音喇叭</w:t>
            </w:r>
          </w:p>
        </w:tc>
        <w:tc>
          <w:tcPr>
            <w:tcW w:w="1002" w:type="dxa"/>
            <w:shd w:val="clear" w:color="auto" w:fill="auto"/>
            <w:vAlign w:val="top"/>
          </w:tcPr>
          <w:p w14:paraId="44931B7D">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个</w:t>
            </w:r>
          </w:p>
        </w:tc>
        <w:tc>
          <w:tcPr>
            <w:tcW w:w="1215" w:type="dxa"/>
            <w:shd w:val="clear" w:color="auto" w:fill="auto"/>
            <w:vAlign w:val="top"/>
          </w:tcPr>
          <w:p w14:paraId="1A76EA6A">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w:t>
            </w:r>
          </w:p>
        </w:tc>
        <w:tc>
          <w:tcPr>
            <w:tcW w:w="1515" w:type="dxa"/>
            <w:shd w:val="clear" w:color="auto" w:fill="auto"/>
            <w:vAlign w:val="top"/>
          </w:tcPr>
          <w:p w14:paraId="32360EB9">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120</w:t>
            </w:r>
          </w:p>
        </w:tc>
        <w:tc>
          <w:tcPr>
            <w:tcW w:w="3970" w:type="dxa"/>
            <w:shd w:val="clear" w:color="auto" w:fill="auto"/>
            <w:vAlign w:val="top"/>
          </w:tcPr>
          <w:p w14:paraId="4D075F5E">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手柄可折叠</w:t>
            </w:r>
          </w:p>
        </w:tc>
      </w:tr>
      <w:tr w14:paraId="220C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auto"/>
            <w:vAlign w:val="top"/>
          </w:tcPr>
          <w:p w14:paraId="09434E74">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警戒带</w:t>
            </w:r>
          </w:p>
        </w:tc>
        <w:tc>
          <w:tcPr>
            <w:tcW w:w="1002" w:type="dxa"/>
            <w:shd w:val="clear" w:color="auto" w:fill="auto"/>
            <w:vAlign w:val="top"/>
          </w:tcPr>
          <w:p w14:paraId="773F0C17">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卷</w:t>
            </w:r>
          </w:p>
        </w:tc>
        <w:tc>
          <w:tcPr>
            <w:tcW w:w="1215" w:type="dxa"/>
            <w:shd w:val="clear" w:color="auto" w:fill="auto"/>
            <w:vAlign w:val="top"/>
          </w:tcPr>
          <w:p w14:paraId="546B58DD">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p>
        </w:tc>
        <w:tc>
          <w:tcPr>
            <w:tcW w:w="1515" w:type="dxa"/>
            <w:shd w:val="clear" w:color="auto" w:fill="auto"/>
            <w:vAlign w:val="top"/>
          </w:tcPr>
          <w:p w14:paraId="075D13E4">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15</w:t>
            </w:r>
          </w:p>
        </w:tc>
        <w:tc>
          <w:tcPr>
            <w:tcW w:w="3970" w:type="dxa"/>
            <w:shd w:val="clear" w:color="auto" w:fill="auto"/>
            <w:vAlign w:val="top"/>
          </w:tcPr>
          <w:p w14:paraId="4B19B81F">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50米</w:t>
            </w:r>
          </w:p>
        </w:tc>
      </w:tr>
      <w:tr w14:paraId="24D2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auto"/>
            <w:vAlign w:val="top"/>
          </w:tcPr>
          <w:p w14:paraId="5A953510">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标识旗(垫)和荧光棒</w:t>
            </w:r>
          </w:p>
        </w:tc>
        <w:tc>
          <w:tcPr>
            <w:tcW w:w="1002" w:type="dxa"/>
            <w:shd w:val="clear" w:color="auto" w:fill="auto"/>
            <w:vAlign w:val="top"/>
          </w:tcPr>
          <w:p w14:paraId="0B5109CA">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套</w:t>
            </w:r>
          </w:p>
        </w:tc>
        <w:tc>
          <w:tcPr>
            <w:tcW w:w="1215" w:type="dxa"/>
            <w:shd w:val="clear" w:color="auto" w:fill="auto"/>
            <w:vAlign w:val="top"/>
          </w:tcPr>
          <w:p w14:paraId="75596957">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p>
        </w:tc>
        <w:tc>
          <w:tcPr>
            <w:tcW w:w="1515" w:type="dxa"/>
            <w:shd w:val="clear" w:color="auto" w:fill="auto"/>
            <w:vAlign w:val="top"/>
          </w:tcPr>
          <w:p w14:paraId="7E02B365">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10</w:t>
            </w:r>
          </w:p>
        </w:tc>
        <w:tc>
          <w:tcPr>
            <w:tcW w:w="3970" w:type="dxa"/>
            <w:shd w:val="clear" w:color="auto" w:fill="auto"/>
            <w:vAlign w:val="top"/>
          </w:tcPr>
          <w:p w14:paraId="176DBC74">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分区标识旗(垫)为红黄绿黑四色，荧光棒为红黄绿白四色</w:t>
            </w:r>
          </w:p>
        </w:tc>
      </w:tr>
      <w:tr w14:paraId="7D07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14:paraId="17736DBB">
            <w:pPr>
              <w:spacing w:before="191" w:line="219" w:lineRule="auto"/>
              <w:ind w:right="1"/>
              <w:jc w:val="left"/>
              <w:rPr>
                <w:rFonts w:hint="eastAsia" w:ascii="宋体" w:hAnsi="宋体" w:eastAsia="宋体" w:cs="宋体"/>
                <w:spacing w:val="-3"/>
                <w:sz w:val="24"/>
                <w:szCs w:val="24"/>
                <w:lang w:val="en-US" w:eastAsia="zh-CN"/>
              </w:rPr>
            </w:pPr>
          </w:p>
        </w:tc>
        <w:tc>
          <w:tcPr>
            <w:tcW w:w="1002" w:type="dxa"/>
          </w:tcPr>
          <w:p w14:paraId="1D8A046A">
            <w:pPr>
              <w:spacing w:before="191" w:line="219" w:lineRule="auto"/>
              <w:ind w:right="1"/>
              <w:jc w:val="left"/>
              <w:rPr>
                <w:rFonts w:hint="eastAsia" w:ascii="宋体" w:hAnsi="宋体" w:eastAsia="宋体" w:cs="宋体"/>
                <w:spacing w:val="-3"/>
                <w:sz w:val="24"/>
                <w:szCs w:val="24"/>
                <w:lang w:val="en-US" w:eastAsia="zh-CN"/>
              </w:rPr>
            </w:pPr>
          </w:p>
        </w:tc>
        <w:tc>
          <w:tcPr>
            <w:tcW w:w="1215" w:type="dxa"/>
          </w:tcPr>
          <w:p w14:paraId="21FAAB18">
            <w:pPr>
              <w:spacing w:before="191" w:line="219" w:lineRule="auto"/>
              <w:ind w:right="1"/>
              <w:jc w:val="left"/>
              <w:rPr>
                <w:rFonts w:hint="eastAsia" w:ascii="宋体" w:hAnsi="宋体" w:eastAsia="宋体" w:cs="宋体"/>
                <w:spacing w:val="-3"/>
                <w:sz w:val="24"/>
                <w:szCs w:val="24"/>
                <w:lang w:val="en-US" w:eastAsia="zh-CN"/>
              </w:rPr>
            </w:pPr>
          </w:p>
        </w:tc>
        <w:tc>
          <w:tcPr>
            <w:tcW w:w="1515" w:type="dxa"/>
          </w:tcPr>
          <w:p w14:paraId="4C30459C">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611</w:t>
            </w:r>
          </w:p>
        </w:tc>
        <w:tc>
          <w:tcPr>
            <w:tcW w:w="3970" w:type="dxa"/>
          </w:tcPr>
          <w:p w14:paraId="2AEC58DC">
            <w:pPr>
              <w:spacing w:before="191" w:line="219" w:lineRule="auto"/>
              <w:ind w:right="1"/>
              <w:jc w:val="left"/>
              <w:rPr>
                <w:rFonts w:hint="eastAsia" w:ascii="宋体" w:hAnsi="宋体" w:eastAsia="宋体" w:cs="宋体"/>
                <w:spacing w:val="-3"/>
                <w:sz w:val="24"/>
                <w:szCs w:val="24"/>
                <w:lang w:val="en-US" w:eastAsia="zh-CN"/>
              </w:rPr>
            </w:pPr>
          </w:p>
        </w:tc>
      </w:tr>
    </w:tbl>
    <w:p w14:paraId="7930C4FC">
      <w:pPr>
        <w:pStyle w:val="15"/>
        <w:numPr>
          <w:ilvl w:val="0"/>
          <w:numId w:val="0"/>
        </w:numPr>
        <w:spacing w:line="240" w:lineRule="auto"/>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(三)救援器材背囊</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1017"/>
        <w:gridCol w:w="1230"/>
        <w:gridCol w:w="1515"/>
        <w:gridCol w:w="3940"/>
      </w:tblGrid>
      <w:tr w14:paraId="445A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14:paraId="679C2C17">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产品名称</w:t>
            </w:r>
          </w:p>
        </w:tc>
        <w:tc>
          <w:tcPr>
            <w:tcW w:w="1017" w:type="dxa"/>
            <w:vAlign w:val="top"/>
          </w:tcPr>
          <w:p w14:paraId="0B19D34B">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单位</w:t>
            </w:r>
          </w:p>
        </w:tc>
        <w:tc>
          <w:tcPr>
            <w:tcW w:w="1230" w:type="dxa"/>
            <w:vAlign w:val="top"/>
          </w:tcPr>
          <w:p w14:paraId="4873BDCF">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数量</w:t>
            </w:r>
          </w:p>
        </w:tc>
        <w:tc>
          <w:tcPr>
            <w:tcW w:w="1515" w:type="dxa"/>
            <w:vAlign w:val="top"/>
          </w:tcPr>
          <w:p w14:paraId="59A00915">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预算</w:t>
            </w:r>
          </w:p>
        </w:tc>
        <w:tc>
          <w:tcPr>
            <w:tcW w:w="3940" w:type="dxa"/>
            <w:vAlign w:val="top"/>
          </w:tcPr>
          <w:p w14:paraId="51A0641F">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功能要求</w:t>
            </w:r>
          </w:p>
        </w:tc>
      </w:tr>
      <w:tr w14:paraId="5C26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auto"/>
            <w:vAlign w:val="top"/>
          </w:tcPr>
          <w:p w14:paraId="63E91654">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斜挎背囊</w:t>
            </w:r>
          </w:p>
        </w:tc>
        <w:tc>
          <w:tcPr>
            <w:tcW w:w="1017" w:type="dxa"/>
            <w:shd w:val="clear" w:color="auto" w:fill="auto"/>
            <w:vAlign w:val="top"/>
          </w:tcPr>
          <w:p w14:paraId="62877603">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个</w:t>
            </w:r>
          </w:p>
        </w:tc>
        <w:tc>
          <w:tcPr>
            <w:tcW w:w="1230" w:type="dxa"/>
            <w:shd w:val="clear" w:color="auto" w:fill="auto"/>
            <w:vAlign w:val="top"/>
          </w:tcPr>
          <w:p w14:paraId="014B662A">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p>
        </w:tc>
        <w:tc>
          <w:tcPr>
            <w:tcW w:w="1515" w:type="dxa"/>
            <w:shd w:val="clear" w:color="auto" w:fill="auto"/>
            <w:vAlign w:val="top"/>
          </w:tcPr>
          <w:p w14:paraId="456B55AF">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260</w:t>
            </w:r>
          </w:p>
        </w:tc>
        <w:tc>
          <w:tcPr>
            <w:tcW w:w="3940" w:type="dxa"/>
            <w:shd w:val="clear" w:color="auto" w:fill="auto"/>
            <w:vAlign w:val="top"/>
          </w:tcPr>
          <w:p w14:paraId="699A153B">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drawing>
                <wp:anchor distT="0" distB="0" distL="114300" distR="114300" simplePos="0" relativeHeight="251667456" behindDoc="1" locked="0" layoutInCell="1" allowOverlap="1">
                  <wp:simplePos x="0" y="0"/>
                  <wp:positionH relativeFrom="column">
                    <wp:posOffset>3792855</wp:posOffset>
                  </wp:positionH>
                  <wp:positionV relativeFrom="paragraph">
                    <wp:posOffset>19050</wp:posOffset>
                  </wp:positionV>
                  <wp:extent cx="1482725" cy="1344295"/>
                  <wp:effectExtent l="0" t="0" r="3175" b="8255"/>
                  <wp:wrapNone/>
                  <wp:docPr id="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pic:cNvPicPr>
                            <a:picLocks noChangeAspect="1"/>
                          </pic:cNvPicPr>
                        </pic:nvPicPr>
                        <pic:blipFill>
                          <a:blip r:embed="rId20" cstate="print"/>
                          <a:stretch>
                            <a:fillRect/>
                          </a:stretch>
                        </pic:blipFill>
                        <pic:spPr>
                          <a:xfrm>
                            <a:off x="0" y="0"/>
                            <a:ext cx="1482725" cy="1344295"/>
                          </a:xfrm>
                          <a:prstGeom prst="rect">
                            <a:avLst/>
                          </a:prstGeom>
                          <a:noFill/>
                          <a:ln w="9525">
                            <a:noFill/>
                          </a:ln>
                        </pic:spPr>
                      </pic:pic>
                    </a:graphicData>
                  </a:graphic>
                </wp:anchor>
              </w:drawing>
            </w:r>
            <w:r>
              <w:rPr>
                <w:rFonts w:hint="eastAsia" w:ascii="宋体" w:hAnsi="宋体" w:eastAsia="宋体" w:cs="宋体"/>
                <w:spacing w:val="-3"/>
                <w:sz w:val="24"/>
                <w:szCs w:val="24"/>
                <w:lang w:val="en-US" w:eastAsia="zh-CN"/>
              </w:rPr>
              <w:t>分隔系统，色标，物品卡</w:t>
            </w:r>
          </w:p>
          <w:p w14:paraId="53DC80AB">
            <w:pPr>
              <w:spacing w:before="191" w:line="219" w:lineRule="auto"/>
              <w:ind w:right="1"/>
              <w:jc w:val="left"/>
              <w:rPr>
                <w:rFonts w:hint="eastAsia" w:ascii="宋体" w:hAnsi="宋体" w:eastAsia="宋体" w:cs="宋体"/>
                <w:spacing w:val="-3"/>
                <w:sz w:val="24"/>
                <w:szCs w:val="24"/>
                <w:lang w:val="en-US" w:eastAsia="zh-CN"/>
              </w:rPr>
            </w:pPr>
            <w:r>
              <w:rPr>
                <w:position w:val="-49"/>
              </w:rPr>
              <w:drawing>
                <wp:inline distT="0" distB="0" distL="0" distR="0">
                  <wp:extent cx="1295400" cy="1569085"/>
                  <wp:effectExtent l="0" t="0" r="0" b="12065"/>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1"/>
                          <a:stretch>
                            <a:fillRect/>
                          </a:stretch>
                        </pic:blipFill>
                        <pic:spPr>
                          <a:xfrm>
                            <a:off x="0" y="0"/>
                            <a:ext cx="1295400" cy="1569575"/>
                          </a:xfrm>
                          <a:prstGeom prst="rect">
                            <a:avLst/>
                          </a:prstGeom>
                        </pic:spPr>
                      </pic:pic>
                    </a:graphicData>
                  </a:graphic>
                </wp:inline>
              </w:drawing>
            </w:r>
          </w:p>
        </w:tc>
      </w:tr>
      <w:tr w14:paraId="21ED0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auto"/>
            <w:vAlign w:val="top"/>
          </w:tcPr>
          <w:p w14:paraId="1CC83FA6">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color w:val="FF0000"/>
                <w:spacing w:val="-3"/>
                <w:sz w:val="24"/>
                <w:szCs w:val="24"/>
                <w:lang w:val="en-US" w:eastAsia="zh-CN"/>
              </w:rPr>
              <w:t>分类背囊/背架</w:t>
            </w:r>
          </w:p>
        </w:tc>
        <w:tc>
          <w:tcPr>
            <w:tcW w:w="1017" w:type="dxa"/>
            <w:shd w:val="clear" w:color="auto" w:fill="auto"/>
            <w:vAlign w:val="top"/>
          </w:tcPr>
          <w:p w14:paraId="4B94C700">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个</w:t>
            </w:r>
          </w:p>
        </w:tc>
        <w:tc>
          <w:tcPr>
            <w:tcW w:w="1230" w:type="dxa"/>
            <w:shd w:val="clear" w:color="auto" w:fill="auto"/>
            <w:vAlign w:val="top"/>
          </w:tcPr>
          <w:p w14:paraId="69F34040">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w:t>
            </w:r>
          </w:p>
        </w:tc>
        <w:tc>
          <w:tcPr>
            <w:tcW w:w="1515" w:type="dxa"/>
            <w:shd w:val="clear" w:color="auto" w:fill="auto"/>
            <w:vAlign w:val="top"/>
          </w:tcPr>
          <w:p w14:paraId="46189AC5">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1800</w:t>
            </w:r>
          </w:p>
        </w:tc>
        <w:tc>
          <w:tcPr>
            <w:tcW w:w="3940" w:type="dxa"/>
            <w:shd w:val="clear" w:color="auto" w:fill="auto"/>
            <w:vAlign w:val="top"/>
          </w:tcPr>
          <w:p w14:paraId="7358B6F4">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背负系统，分隔系统，载具系统，色标，物品卡</w:t>
            </w:r>
          </w:p>
          <w:p w14:paraId="2438B0A0">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drawing>
                <wp:inline distT="0" distB="0" distL="114300" distR="114300">
                  <wp:extent cx="2360295" cy="3119755"/>
                  <wp:effectExtent l="0" t="0" r="1905" b="4445"/>
                  <wp:docPr id="7" name="图片 7" descr="6332297becc5fae18e90fff03a3eb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332297becc5fae18e90fff03a3eb6a"/>
                          <pic:cNvPicPr>
                            <a:picLocks noChangeAspect="1"/>
                          </pic:cNvPicPr>
                        </pic:nvPicPr>
                        <pic:blipFill>
                          <a:blip r:embed="rId22"/>
                          <a:stretch>
                            <a:fillRect/>
                          </a:stretch>
                        </pic:blipFill>
                        <pic:spPr>
                          <a:xfrm>
                            <a:off x="0" y="0"/>
                            <a:ext cx="2360295" cy="3119755"/>
                          </a:xfrm>
                          <a:prstGeom prst="rect">
                            <a:avLst/>
                          </a:prstGeom>
                        </pic:spPr>
                      </pic:pic>
                    </a:graphicData>
                  </a:graphic>
                </wp:inline>
              </w:drawing>
            </w:r>
          </w:p>
          <w:p w14:paraId="12702FE9">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仅做参考</w:t>
            </w:r>
          </w:p>
        </w:tc>
      </w:tr>
      <w:tr w14:paraId="6406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auto"/>
            <w:vAlign w:val="top"/>
          </w:tcPr>
          <w:p w14:paraId="5898FEE2">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医用垃圾袋</w:t>
            </w:r>
          </w:p>
        </w:tc>
        <w:tc>
          <w:tcPr>
            <w:tcW w:w="1017" w:type="dxa"/>
            <w:shd w:val="clear" w:color="auto" w:fill="auto"/>
            <w:vAlign w:val="top"/>
          </w:tcPr>
          <w:p w14:paraId="4F681DC6">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个</w:t>
            </w:r>
          </w:p>
        </w:tc>
        <w:tc>
          <w:tcPr>
            <w:tcW w:w="1230" w:type="dxa"/>
            <w:shd w:val="clear" w:color="auto" w:fill="auto"/>
            <w:vAlign w:val="top"/>
          </w:tcPr>
          <w:p w14:paraId="30E3923F">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10</w:t>
            </w:r>
          </w:p>
        </w:tc>
        <w:tc>
          <w:tcPr>
            <w:tcW w:w="1515" w:type="dxa"/>
            <w:shd w:val="clear" w:color="auto" w:fill="auto"/>
            <w:vAlign w:val="top"/>
          </w:tcPr>
          <w:p w14:paraId="340B44F4">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50</w:t>
            </w:r>
          </w:p>
        </w:tc>
        <w:tc>
          <w:tcPr>
            <w:tcW w:w="3940" w:type="dxa"/>
            <w:shd w:val="clear" w:color="auto" w:fill="auto"/>
            <w:vAlign w:val="top"/>
          </w:tcPr>
          <w:p w14:paraId="6611AB12">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含塑料尼龙封口扎带</w:t>
            </w:r>
          </w:p>
        </w:tc>
      </w:tr>
      <w:tr w14:paraId="3B50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auto"/>
            <w:vAlign w:val="top"/>
          </w:tcPr>
          <w:p w14:paraId="35B01732">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医用锐器盒</w:t>
            </w:r>
          </w:p>
        </w:tc>
        <w:tc>
          <w:tcPr>
            <w:tcW w:w="1017" w:type="dxa"/>
            <w:shd w:val="clear" w:color="auto" w:fill="auto"/>
            <w:vAlign w:val="top"/>
          </w:tcPr>
          <w:p w14:paraId="44B06311">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个</w:t>
            </w:r>
          </w:p>
        </w:tc>
        <w:tc>
          <w:tcPr>
            <w:tcW w:w="1230" w:type="dxa"/>
            <w:shd w:val="clear" w:color="auto" w:fill="auto"/>
            <w:vAlign w:val="top"/>
          </w:tcPr>
          <w:p w14:paraId="1BDEADF2">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w:t>
            </w:r>
          </w:p>
        </w:tc>
        <w:tc>
          <w:tcPr>
            <w:tcW w:w="1515" w:type="dxa"/>
            <w:shd w:val="clear" w:color="auto" w:fill="auto"/>
            <w:vAlign w:val="top"/>
          </w:tcPr>
          <w:p w14:paraId="7B16B5AC">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15</w:t>
            </w:r>
          </w:p>
        </w:tc>
        <w:tc>
          <w:tcPr>
            <w:tcW w:w="3940" w:type="dxa"/>
            <w:shd w:val="clear" w:color="auto" w:fill="auto"/>
            <w:vAlign w:val="top"/>
          </w:tcPr>
          <w:p w14:paraId="006DA30C">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折叠式</w:t>
            </w:r>
          </w:p>
        </w:tc>
      </w:tr>
      <w:tr w14:paraId="3F7E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auto"/>
            <w:vAlign w:val="top"/>
          </w:tcPr>
          <w:p w14:paraId="63638995">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安全剪刀</w:t>
            </w:r>
          </w:p>
        </w:tc>
        <w:tc>
          <w:tcPr>
            <w:tcW w:w="1017" w:type="dxa"/>
            <w:shd w:val="clear" w:color="auto" w:fill="auto"/>
            <w:vAlign w:val="top"/>
          </w:tcPr>
          <w:p w14:paraId="58FF5A0F">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把</w:t>
            </w:r>
          </w:p>
        </w:tc>
        <w:tc>
          <w:tcPr>
            <w:tcW w:w="1230" w:type="dxa"/>
            <w:shd w:val="clear" w:color="auto" w:fill="auto"/>
            <w:vAlign w:val="top"/>
          </w:tcPr>
          <w:p w14:paraId="62546DC4">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w:t>
            </w:r>
          </w:p>
        </w:tc>
        <w:tc>
          <w:tcPr>
            <w:tcW w:w="1515" w:type="dxa"/>
            <w:shd w:val="clear" w:color="auto" w:fill="auto"/>
            <w:vAlign w:val="top"/>
          </w:tcPr>
          <w:p w14:paraId="1D7A0BDE">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45</w:t>
            </w:r>
          </w:p>
        </w:tc>
        <w:tc>
          <w:tcPr>
            <w:tcW w:w="3940" w:type="dxa"/>
            <w:shd w:val="clear" w:color="auto" w:fill="auto"/>
            <w:vAlign w:val="top"/>
          </w:tcPr>
          <w:p w14:paraId="4240DBC2">
            <w:pPr>
              <w:spacing w:before="191" w:line="219" w:lineRule="auto"/>
              <w:ind w:right="1"/>
              <w:jc w:val="left"/>
              <w:rPr>
                <w:rFonts w:hint="eastAsia" w:ascii="宋体" w:hAnsi="宋体" w:eastAsia="宋体" w:cs="宋体"/>
                <w:spacing w:val="-3"/>
                <w:sz w:val="24"/>
                <w:szCs w:val="24"/>
                <w:lang w:val="en-US" w:eastAsia="zh-CN"/>
              </w:rPr>
            </w:pPr>
          </w:p>
        </w:tc>
      </w:tr>
      <w:tr w14:paraId="3513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auto"/>
            <w:vAlign w:val="top"/>
          </w:tcPr>
          <w:p w14:paraId="1F2CBFDA">
            <w:pPr>
              <w:spacing w:before="191" w:line="219" w:lineRule="auto"/>
              <w:ind w:right="1"/>
              <w:jc w:val="left"/>
              <w:rPr>
                <w:rFonts w:hint="eastAsia" w:ascii="宋体" w:hAnsi="宋体" w:eastAsia="宋体" w:cs="宋体"/>
                <w:spacing w:val="-3"/>
                <w:sz w:val="24"/>
                <w:szCs w:val="24"/>
                <w:lang w:val="en-US" w:eastAsia="zh-CN"/>
              </w:rPr>
            </w:pPr>
          </w:p>
        </w:tc>
        <w:tc>
          <w:tcPr>
            <w:tcW w:w="1017" w:type="dxa"/>
            <w:shd w:val="clear" w:color="auto" w:fill="auto"/>
            <w:vAlign w:val="top"/>
          </w:tcPr>
          <w:p w14:paraId="0C99615A">
            <w:pPr>
              <w:spacing w:before="191" w:line="219" w:lineRule="auto"/>
              <w:ind w:right="1"/>
              <w:jc w:val="left"/>
              <w:rPr>
                <w:rFonts w:hint="eastAsia" w:ascii="宋体" w:hAnsi="宋体" w:eastAsia="宋体" w:cs="宋体"/>
                <w:spacing w:val="-3"/>
                <w:sz w:val="24"/>
                <w:szCs w:val="24"/>
                <w:lang w:val="en-US" w:eastAsia="zh-CN"/>
              </w:rPr>
            </w:pPr>
          </w:p>
        </w:tc>
        <w:tc>
          <w:tcPr>
            <w:tcW w:w="1230" w:type="dxa"/>
            <w:shd w:val="clear" w:color="auto" w:fill="auto"/>
            <w:vAlign w:val="top"/>
          </w:tcPr>
          <w:p w14:paraId="6B2172A3">
            <w:pPr>
              <w:spacing w:before="191" w:line="219" w:lineRule="auto"/>
              <w:ind w:right="1"/>
              <w:jc w:val="left"/>
              <w:rPr>
                <w:rFonts w:hint="eastAsia" w:ascii="宋体" w:hAnsi="宋体" w:eastAsia="宋体" w:cs="宋体"/>
                <w:spacing w:val="-3"/>
                <w:sz w:val="24"/>
                <w:szCs w:val="24"/>
                <w:lang w:val="en-US" w:eastAsia="zh-CN"/>
              </w:rPr>
            </w:pPr>
          </w:p>
        </w:tc>
        <w:tc>
          <w:tcPr>
            <w:tcW w:w="1515" w:type="dxa"/>
            <w:shd w:val="clear" w:color="auto" w:fill="auto"/>
            <w:vAlign w:val="top"/>
          </w:tcPr>
          <w:p w14:paraId="470D7A86">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2170</w:t>
            </w:r>
          </w:p>
        </w:tc>
        <w:tc>
          <w:tcPr>
            <w:tcW w:w="3940" w:type="dxa"/>
            <w:shd w:val="clear" w:color="auto" w:fill="auto"/>
            <w:vAlign w:val="top"/>
          </w:tcPr>
          <w:p w14:paraId="48197555">
            <w:pPr>
              <w:spacing w:before="191" w:line="219" w:lineRule="auto"/>
              <w:ind w:right="1"/>
              <w:jc w:val="left"/>
              <w:rPr>
                <w:rFonts w:hint="eastAsia" w:ascii="宋体" w:hAnsi="宋体" w:eastAsia="宋体" w:cs="宋体"/>
                <w:spacing w:val="-3"/>
                <w:sz w:val="24"/>
                <w:szCs w:val="24"/>
                <w:lang w:val="en-US" w:eastAsia="zh-CN"/>
              </w:rPr>
            </w:pPr>
          </w:p>
        </w:tc>
      </w:tr>
    </w:tbl>
    <w:p w14:paraId="198239E9">
      <w:pPr>
        <w:pStyle w:val="15"/>
        <w:numPr>
          <w:ilvl w:val="0"/>
          <w:numId w:val="0"/>
        </w:numPr>
        <w:spacing w:line="240" w:lineRule="auto"/>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(四)药品药剂背囊</w:t>
      </w:r>
    </w:p>
    <w:p w14:paraId="198BAF2F">
      <w:pPr>
        <w:spacing w:before="191" w:line="219" w:lineRule="auto"/>
        <w:ind w:right="1"/>
        <w:jc w:val="left"/>
        <w:rPr>
          <w:rFonts w:hint="eastAsia" w:ascii="宋体" w:hAnsi="宋体" w:eastAsia="宋体" w:cs="宋体"/>
          <w:spacing w:val="-3"/>
          <w:sz w:val="24"/>
          <w:szCs w:val="24"/>
          <w:lang w:val="en-US" w:eastAsia="zh-CN"/>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1017"/>
        <w:gridCol w:w="1260"/>
        <w:gridCol w:w="1485"/>
        <w:gridCol w:w="3940"/>
      </w:tblGrid>
      <w:tr w14:paraId="78DA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14:paraId="18B372CF">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产品名称</w:t>
            </w:r>
          </w:p>
        </w:tc>
        <w:tc>
          <w:tcPr>
            <w:tcW w:w="1017" w:type="dxa"/>
            <w:vAlign w:val="top"/>
          </w:tcPr>
          <w:p w14:paraId="3F2025CF">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单位</w:t>
            </w:r>
          </w:p>
        </w:tc>
        <w:tc>
          <w:tcPr>
            <w:tcW w:w="1260" w:type="dxa"/>
            <w:vAlign w:val="top"/>
          </w:tcPr>
          <w:p w14:paraId="1A43758C">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数量</w:t>
            </w:r>
          </w:p>
        </w:tc>
        <w:tc>
          <w:tcPr>
            <w:tcW w:w="1485" w:type="dxa"/>
            <w:vAlign w:val="top"/>
          </w:tcPr>
          <w:p w14:paraId="195F3C18">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预算</w:t>
            </w:r>
          </w:p>
        </w:tc>
        <w:tc>
          <w:tcPr>
            <w:tcW w:w="3940" w:type="dxa"/>
            <w:vAlign w:val="top"/>
          </w:tcPr>
          <w:p w14:paraId="1B83A286">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功能要求</w:t>
            </w:r>
          </w:p>
        </w:tc>
      </w:tr>
      <w:tr w14:paraId="4583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auto"/>
            <w:vAlign w:val="top"/>
          </w:tcPr>
          <w:p w14:paraId="425011BB">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color w:val="FF0000"/>
                <w:spacing w:val="-3"/>
                <w:sz w:val="24"/>
                <w:szCs w:val="24"/>
                <w:lang w:val="en-US" w:eastAsia="zh-CN"/>
              </w:rPr>
              <w:t>分类背囊</w:t>
            </w:r>
          </w:p>
        </w:tc>
        <w:tc>
          <w:tcPr>
            <w:tcW w:w="1017" w:type="dxa"/>
            <w:shd w:val="clear" w:color="auto" w:fill="auto"/>
            <w:vAlign w:val="top"/>
          </w:tcPr>
          <w:p w14:paraId="0955F5A8">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个</w:t>
            </w:r>
          </w:p>
        </w:tc>
        <w:tc>
          <w:tcPr>
            <w:tcW w:w="1260" w:type="dxa"/>
            <w:shd w:val="clear" w:color="auto" w:fill="auto"/>
            <w:vAlign w:val="top"/>
          </w:tcPr>
          <w:p w14:paraId="2EB78B06">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p>
        </w:tc>
        <w:tc>
          <w:tcPr>
            <w:tcW w:w="1485" w:type="dxa"/>
            <w:shd w:val="clear" w:color="auto" w:fill="auto"/>
            <w:vAlign w:val="top"/>
          </w:tcPr>
          <w:p w14:paraId="52B57EB8">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900</w:t>
            </w:r>
          </w:p>
        </w:tc>
        <w:tc>
          <w:tcPr>
            <w:tcW w:w="3940" w:type="dxa"/>
            <w:shd w:val="clear" w:color="auto" w:fill="auto"/>
            <w:vAlign w:val="top"/>
          </w:tcPr>
          <w:p w14:paraId="0D5319DE">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背负系统，分隔系统，药品载具系统，色标，物品卡</w:t>
            </w:r>
          </w:p>
          <w:p w14:paraId="0E5403F0">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drawing>
                <wp:inline distT="0" distB="0" distL="114300" distR="114300">
                  <wp:extent cx="2360295" cy="3119755"/>
                  <wp:effectExtent l="0" t="0" r="1905" b="4445"/>
                  <wp:docPr id="3" name="图片 3" descr="6332297becc5fae18e90fff03a3eb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332297becc5fae18e90fff03a3eb6a"/>
                          <pic:cNvPicPr>
                            <a:picLocks noChangeAspect="1"/>
                          </pic:cNvPicPr>
                        </pic:nvPicPr>
                        <pic:blipFill>
                          <a:blip r:embed="rId22"/>
                          <a:stretch>
                            <a:fillRect/>
                          </a:stretch>
                        </pic:blipFill>
                        <pic:spPr>
                          <a:xfrm>
                            <a:off x="0" y="0"/>
                            <a:ext cx="2360295" cy="3119755"/>
                          </a:xfrm>
                          <a:prstGeom prst="rect">
                            <a:avLst/>
                          </a:prstGeom>
                        </pic:spPr>
                      </pic:pic>
                    </a:graphicData>
                  </a:graphic>
                </wp:inline>
              </w:drawing>
            </w:r>
          </w:p>
          <w:p w14:paraId="43B7987B">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仅做参考</w:t>
            </w:r>
          </w:p>
        </w:tc>
      </w:tr>
      <w:tr w14:paraId="03DB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auto"/>
            <w:vAlign w:val="top"/>
          </w:tcPr>
          <w:p w14:paraId="25D67910">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医用锐器盒</w:t>
            </w:r>
          </w:p>
        </w:tc>
        <w:tc>
          <w:tcPr>
            <w:tcW w:w="1017" w:type="dxa"/>
            <w:shd w:val="clear" w:color="auto" w:fill="auto"/>
            <w:vAlign w:val="top"/>
          </w:tcPr>
          <w:p w14:paraId="2D3C725E">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个</w:t>
            </w:r>
          </w:p>
        </w:tc>
        <w:tc>
          <w:tcPr>
            <w:tcW w:w="1260" w:type="dxa"/>
            <w:shd w:val="clear" w:color="auto" w:fill="auto"/>
            <w:vAlign w:val="top"/>
          </w:tcPr>
          <w:p w14:paraId="14A8862D">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w:t>
            </w:r>
          </w:p>
        </w:tc>
        <w:tc>
          <w:tcPr>
            <w:tcW w:w="1485" w:type="dxa"/>
            <w:shd w:val="clear" w:color="auto" w:fill="auto"/>
            <w:vAlign w:val="top"/>
          </w:tcPr>
          <w:p w14:paraId="10CAA2CC">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10</w:t>
            </w:r>
          </w:p>
        </w:tc>
        <w:tc>
          <w:tcPr>
            <w:tcW w:w="3940" w:type="dxa"/>
            <w:shd w:val="clear" w:color="auto" w:fill="auto"/>
            <w:vAlign w:val="top"/>
          </w:tcPr>
          <w:p w14:paraId="2D836C1B">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规格≤0.5L</w:t>
            </w:r>
          </w:p>
        </w:tc>
      </w:tr>
      <w:tr w14:paraId="714A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auto"/>
            <w:vAlign w:val="top"/>
          </w:tcPr>
          <w:p w14:paraId="67B7E2D1">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医用垃圾袋</w:t>
            </w:r>
          </w:p>
        </w:tc>
        <w:tc>
          <w:tcPr>
            <w:tcW w:w="1017" w:type="dxa"/>
            <w:shd w:val="clear" w:color="auto" w:fill="auto"/>
            <w:vAlign w:val="top"/>
          </w:tcPr>
          <w:p w14:paraId="02581600">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个</w:t>
            </w:r>
          </w:p>
        </w:tc>
        <w:tc>
          <w:tcPr>
            <w:tcW w:w="1260" w:type="dxa"/>
            <w:shd w:val="clear" w:color="auto" w:fill="auto"/>
            <w:vAlign w:val="top"/>
          </w:tcPr>
          <w:p w14:paraId="7FFF9D69">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w:t>
            </w:r>
          </w:p>
        </w:tc>
        <w:tc>
          <w:tcPr>
            <w:tcW w:w="1485" w:type="dxa"/>
            <w:shd w:val="clear" w:color="auto" w:fill="auto"/>
            <w:vAlign w:val="top"/>
          </w:tcPr>
          <w:p w14:paraId="78A2611D">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10</w:t>
            </w:r>
          </w:p>
        </w:tc>
        <w:tc>
          <w:tcPr>
            <w:tcW w:w="3940" w:type="dxa"/>
            <w:shd w:val="clear" w:color="auto" w:fill="auto"/>
            <w:vAlign w:val="top"/>
          </w:tcPr>
          <w:p w14:paraId="18566D18">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含塑料尼龙封口扎带</w:t>
            </w:r>
          </w:p>
        </w:tc>
      </w:tr>
      <w:tr w14:paraId="6129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auto"/>
            <w:vAlign w:val="top"/>
          </w:tcPr>
          <w:p w14:paraId="5A68C0DD">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安全剪</w:t>
            </w:r>
          </w:p>
        </w:tc>
        <w:tc>
          <w:tcPr>
            <w:tcW w:w="1017" w:type="dxa"/>
            <w:shd w:val="clear" w:color="auto" w:fill="auto"/>
            <w:vAlign w:val="top"/>
          </w:tcPr>
          <w:p w14:paraId="37BEAC31">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个</w:t>
            </w:r>
          </w:p>
        </w:tc>
        <w:tc>
          <w:tcPr>
            <w:tcW w:w="1260" w:type="dxa"/>
            <w:shd w:val="clear" w:color="auto" w:fill="auto"/>
            <w:vAlign w:val="top"/>
          </w:tcPr>
          <w:p w14:paraId="1AD1B865">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w:t>
            </w:r>
          </w:p>
        </w:tc>
        <w:tc>
          <w:tcPr>
            <w:tcW w:w="1485" w:type="dxa"/>
            <w:shd w:val="clear" w:color="auto" w:fill="auto"/>
            <w:vAlign w:val="top"/>
          </w:tcPr>
          <w:p w14:paraId="5B766808">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30</w:t>
            </w:r>
          </w:p>
        </w:tc>
        <w:tc>
          <w:tcPr>
            <w:tcW w:w="3940" w:type="dxa"/>
            <w:shd w:val="clear" w:color="auto" w:fill="auto"/>
            <w:vAlign w:val="top"/>
          </w:tcPr>
          <w:p w14:paraId="1516D5CE">
            <w:pPr>
              <w:spacing w:before="191" w:line="219" w:lineRule="auto"/>
              <w:ind w:right="1"/>
              <w:jc w:val="left"/>
              <w:rPr>
                <w:rFonts w:hint="eastAsia" w:ascii="宋体" w:hAnsi="宋体" w:eastAsia="宋体" w:cs="宋体"/>
                <w:spacing w:val="-3"/>
                <w:sz w:val="24"/>
                <w:szCs w:val="24"/>
                <w:lang w:val="en-US" w:eastAsia="zh-CN"/>
              </w:rPr>
            </w:pPr>
          </w:p>
        </w:tc>
      </w:tr>
      <w:tr w14:paraId="0D71D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auto"/>
            <w:vAlign w:val="top"/>
          </w:tcPr>
          <w:p w14:paraId="4AD7365B">
            <w:pPr>
              <w:spacing w:before="191" w:line="219" w:lineRule="auto"/>
              <w:ind w:right="1"/>
              <w:jc w:val="left"/>
              <w:rPr>
                <w:rFonts w:hint="eastAsia" w:ascii="宋体" w:hAnsi="宋体" w:eastAsia="宋体" w:cs="宋体"/>
                <w:spacing w:val="-3"/>
                <w:sz w:val="24"/>
                <w:szCs w:val="24"/>
                <w:lang w:val="en-US" w:eastAsia="zh-CN"/>
              </w:rPr>
            </w:pPr>
          </w:p>
        </w:tc>
        <w:tc>
          <w:tcPr>
            <w:tcW w:w="1017" w:type="dxa"/>
            <w:shd w:val="clear" w:color="auto" w:fill="auto"/>
            <w:vAlign w:val="top"/>
          </w:tcPr>
          <w:p w14:paraId="1841A312">
            <w:pPr>
              <w:spacing w:before="191" w:line="219" w:lineRule="auto"/>
              <w:ind w:right="1"/>
              <w:jc w:val="left"/>
              <w:rPr>
                <w:rFonts w:hint="eastAsia" w:ascii="宋体" w:hAnsi="宋体" w:eastAsia="宋体" w:cs="宋体"/>
                <w:spacing w:val="-3"/>
                <w:sz w:val="24"/>
                <w:szCs w:val="24"/>
                <w:lang w:val="en-US" w:eastAsia="zh-CN"/>
              </w:rPr>
            </w:pPr>
          </w:p>
        </w:tc>
        <w:tc>
          <w:tcPr>
            <w:tcW w:w="1260" w:type="dxa"/>
            <w:shd w:val="clear" w:color="auto" w:fill="auto"/>
            <w:vAlign w:val="top"/>
          </w:tcPr>
          <w:p w14:paraId="6E421A90">
            <w:pPr>
              <w:spacing w:before="191" w:line="219" w:lineRule="auto"/>
              <w:ind w:right="1"/>
              <w:jc w:val="left"/>
              <w:rPr>
                <w:rFonts w:hint="eastAsia" w:ascii="宋体" w:hAnsi="宋体" w:eastAsia="宋体" w:cs="宋体"/>
                <w:spacing w:val="-3"/>
                <w:sz w:val="24"/>
                <w:szCs w:val="24"/>
                <w:lang w:val="en-US" w:eastAsia="zh-CN"/>
              </w:rPr>
            </w:pPr>
          </w:p>
        </w:tc>
        <w:tc>
          <w:tcPr>
            <w:tcW w:w="1485" w:type="dxa"/>
            <w:shd w:val="clear" w:color="auto" w:fill="auto"/>
            <w:vAlign w:val="top"/>
          </w:tcPr>
          <w:p w14:paraId="0EE98D6A">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950</w:t>
            </w:r>
          </w:p>
        </w:tc>
        <w:tc>
          <w:tcPr>
            <w:tcW w:w="3940" w:type="dxa"/>
            <w:shd w:val="clear" w:color="auto" w:fill="auto"/>
            <w:vAlign w:val="top"/>
          </w:tcPr>
          <w:p w14:paraId="28E274EA">
            <w:pPr>
              <w:spacing w:before="191" w:line="219" w:lineRule="auto"/>
              <w:ind w:right="1"/>
              <w:jc w:val="left"/>
              <w:rPr>
                <w:rFonts w:hint="eastAsia" w:ascii="宋体" w:hAnsi="宋体" w:eastAsia="宋体" w:cs="宋体"/>
                <w:spacing w:val="-3"/>
                <w:sz w:val="24"/>
                <w:szCs w:val="24"/>
                <w:lang w:val="en-US" w:eastAsia="zh-CN"/>
              </w:rPr>
            </w:pPr>
          </w:p>
        </w:tc>
      </w:tr>
    </w:tbl>
    <w:p w14:paraId="5E67EAFD">
      <w:pPr>
        <w:pStyle w:val="15"/>
        <w:numPr>
          <w:ilvl w:val="0"/>
          <w:numId w:val="0"/>
        </w:numPr>
        <w:spacing w:line="240" w:lineRule="auto"/>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(五)创伤处置背囊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025"/>
        <w:gridCol w:w="1221"/>
        <w:gridCol w:w="1535"/>
        <w:gridCol w:w="3938"/>
      </w:tblGrid>
      <w:tr w14:paraId="6CC9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top"/>
          </w:tcPr>
          <w:p w14:paraId="1CA5175E">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产品名称</w:t>
            </w:r>
          </w:p>
        </w:tc>
        <w:tc>
          <w:tcPr>
            <w:tcW w:w="1025" w:type="dxa"/>
            <w:vAlign w:val="top"/>
          </w:tcPr>
          <w:p w14:paraId="682B19BB">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单位</w:t>
            </w:r>
          </w:p>
        </w:tc>
        <w:tc>
          <w:tcPr>
            <w:tcW w:w="1221" w:type="dxa"/>
            <w:vAlign w:val="top"/>
          </w:tcPr>
          <w:p w14:paraId="19C2FE0F">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数量</w:t>
            </w:r>
          </w:p>
        </w:tc>
        <w:tc>
          <w:tcPr>
            <w:tcW w:w="1535" w:type="dxa"/>
            <w:vAlign w:val="top"/>
          </w:tcPr>
          <w:p w14:paraId="34664F9D">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预算</w:t>
            </w:r>
          </w:p>
        </w:tc>
        <w:tc>
          <w:tcPr>
            <w:tcW w:w="3938" w:type="dxa"/>
            <w:vAlign w:val="top"/>
          </w:tcPr>
          <w:p w14:paraId="4CA9A116">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功能要求</w:t>
            </w:r>
          </w:p>
        </w:tc>
      </w:tr>
      <w:tr w14:paraId="4C32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shd w:val="clear" w:color="auto" w:fill="auto"/>
            <w:vAlign w:val="top"/>
          </w:tcPr>
          <w:p w14:paraId="55B423E0">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color w:val="FF0000"/>
                <w:spacing w:val="-3"/>
                <w:sz w:val="24"/>
                <w:szCs w:val="24"/>
                <w:lang w:val="en-US" w:eastAsia="zh-CN"/>
              </w:rPr>
              <w:t>分类背囊</w:t>
            </w:r>
          </w:p>
        </w:tc>
        <w:tc>
          <w:tcPr>
            <w:tcW w:w="1025" w:type="dxa"/>
            <w:shd w:val="clear" w:color="auto" w:fill="auto"/>
            <w:vAlign w:val="top"/>
          </w:tcPr>
          <w:p w14:paraId="11FB9B53">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个</w:t>
            </w:r>
          </w:p>
        </w:tc>
        <w:tc>
          <w:tcPr>
            <w:tcW w:w="1221" w:type="dxa"/>
            <w:shd w:val="clear" w:color="auto" w:fill="auto"/>
            <w:vAlign w:val="top"/>
          </w:tcPr>
          <w:p w14:paraId="15973249">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w:t>
            </w:r>
          </w:p>
        </w:tc>
        <w:tc>
          <w:tcPr>
            <w:tcW w:w="1535" w:type="dxa"/>
            <w:shd w:val="clear" w:color="auto" w:fill="auto"/>
            <w:vAlign w:val="top"/>
          </w:tcPr>
          <w:p w14:paraId="26A49BB7">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1800</w:t>
            </w:r>
          </w:p>
        </w:tc>
        <w:tc>
          <w:tcPr>
            <w:tcW w:w="3938" w:type="dxa"/>
            <w:shd w:val="clear" w:color="auto" w:fill="auto"/>
            <w:vAlign w:val="top"/>
          </w:tcPr>
          <w:p w14:paraId="3364AF27">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背负系统，分隔系统，载具系统，色标，物品卡</w:t>
            </w:r>
          </w:p>
          <w:p w14:paraId="0D2B4ABF">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drawing>
                <wp:inline distT="0" distB="0" distL="114300" distR="114300">
                  <wp:extent cx="2360295" cy="3119755"/>
                  <wp:effectExtent l="0" t="0" r="1905" b="4445"/>
                  <wp:docPr id="9" name="图片 9" descr="6332297becc5fae18e90fff03a3eb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6332297becc5fae18e90fff03a3eb6a"/>
                          <pic:cNvPicPr>
                            <a:picLocks noChangeAspect="1"/>
                          </pic:cNvPicPr>
                        </pic:nvPicPr>
                        <pic:blipFill>
                          <a:blip r:embed="rId22"/>
                          <a:stretch>
                            <a:fillRect/>
                          </a:stretch>
                        </pic:blipFill>
                        <pic:spPr>
                          <a:xfrm>
                            <a:off x="0" y="0"/>
                            <a:ext cx="2360295" cy="3119755"/>
                          </a:xfrm>
                          <a:prstGeom prst="rect">
                            <a:avLst/>
                          </a:prstGeom>
                        </pic:spPr>
                      </pic:pic>
                    </a:graphicData>
                  </a:graphic>
                </wp:inline>
              </w:drawing>
            </w:r>
          </w:p>
          <w:p w14:paraId="57103BA6">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仅做参考</w:t>
            </w:r>
          </w:p>
        </w:tc>
      </w:tr>
      <w:tr w14:paraId="7BA5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shd w:val="clear" w:color="auto" w:fill="auto"/>
            <w:vAlign w:val="top"/>
          </w:tcPr>
          <w:p w14:paraId="2F6E4AE6">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安全剪刀</w:t>
            </w:r>
          </w:p>
        </w:tc>
        <w:tc>
          <w:tcPr>
            <w:tcW w:w="1025" w:type="dxa"/>
            <w:shd w:val="clear" w:color="auto" w:fill="auto"/>
            <w:vAlign w:val="top"/>
          </w:tcPr>
          <w:p w14:paraId="4154E83D">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把</w:t>
            </w:r>
          </w:p>
        </w:tc>
        <w:tc>
          <w:tcPr>
            <w:tcW w:w="1221" w:type="dxa"/>
            <w:shd w:val="clear" w:color="auto" w:fill="auto"/>
            <w:vAlign w:val="top"/>
          </w:tcPr>
          <w:p w14:paraId="6020A213">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w:t>
            </w:r>
          </w:p>
        </w:tc>
        <w:tc>
          <w:tcPr>
            <w:tcW w:w="1535" w:type="dxa"/>
            <w:shd w:val="clear" w:color="auto" w:fill="auto"/>
            <w:vAlign w:val="top"/>
          </w:tcPr>
          <w:p w14:paraId="1F80FB01">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30</w:t>
            </w:r>
          </w:p>
        </w:tc>
        <w:tc>
          <w:tcPr>
            <w:tcW w:w="3938" w:type="dxa"/>
            <w:shd w:val="clear" w:color="auto" w:fill="auto"/>
            <w:vAlign w:val="top"/>
          </w:tcPr>
          <w:p w14:paraId="6C66B01D">
            <w:pPr>
              <w:spacing w:before="191" w:line="219" w:lineRule="auto"/>
              <w:ind w:right="1"/>
              <w:jc w:val="left"/>
              <w:rPr>
                <w:rFonts w:hint="eastAsia" w:ascii="宋体" w:hAnsi="宋体" w:eastAsia="宋体" w:cs="宋体"/>
                <w:spacing w:val="-3"/>
                <w:sz w:val="24"/>
                <w:szCs w:val="24"/>
                <w:lang w:val="en-US" w:eastAsia="zh-CN"/>
              </w:rPr>
            </w:pPr>
          </w:p>
        </w:tc>
      </w:tr>
      <w:tr w14:paraId="6BDD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shd w:val="clear" w:color="auto" w:fill="auto"/>
            <w:vAlign w:val="top"/>
          </w:tcPr>
          <w:p w14:paraId="0AD5B21F">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医用垃圾袋</w:t>
            </w:r>
          </w:p>
        </w:tc>
        <w:tc>
          <w:tcPr>
            <w:tcW w:w="1025" w:type="dxa"/>
            <w:shd w:val="clear" w:color="auto" w:fill="auto"/>
            <w:vAlign w:val="top"/>
          </w:tcPr>
          <w:p w14:paraId="010C8ECB">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个</w:t>
            </w:r>
          </w:p>
        </w:tc>
        <w:tc>
          <w:tcPr>
            <w:tcW w:w="1221" w:type="dxa"/>
            <w:shd w:val="clear" w:color="auto" w:fill="auto"/>
            <w:vAlign w:val="top"/>
          </w:tcPr>
          <w:p w14:paraId="43CFE79F">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10</w:t>
            </w:r>
          </w:p>
        </w:tc>
        <w:tc>
          <w:tcPr>
            <w:tcW w:w="1535" w:type="dxa"/>
            <w:shd w:val="clear" w:color="auto" w:fill="auto"/>
            <w:vAlign w:val="top"/>
          </w:tcPr>
          <w:p w14:paraId="65AE1103">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50</w:t>
            </w:r>
          </w:p>
        </w:tc>
        <w:tc>
          <w:tcPr>
            <w:tcW w:w="3938" w:type="dxa"/>
            <w:shd w:val="clear" w:color="auto" w:fill="auto"/>
            <w:vAlign w:val="top"/>
          </w:tcPr>
          <w:p w14:paraId="05AA5355">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含塑料尼龙封口扎带</w:t>
            </w:r>
          </w:p>
        </w:tc>
      </w:tr>
      <w:tr w14:paraId="2B29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shd w:val="clear" w:color="auto" w:fill="auto"/>
            <w:vAlign w:val="top"/>
          </w:tcPr>
          <w:p w14:paraId="3A77DC56">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医用锐器盒</w:t>
            </w:r>
          </w:p>
        </w:tc>
        <w:tc>
          <w:tcPr>
            <w:tcW w:w="1025" w:type="dxa"/>
            <w:shd w:val="clear" w:color="auto" w:fill="auto"/>
            <w:vAlign w:val="top"/>
          </w:tcPr>
          <w:p w14:paraId="127135C8">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个</w:t>
            </w:r>
          </w:p>
        </w:tc>
        <w:tc>
          <w:tcPr>
            <w:tcW w:w="1221" w:type="dxa"/>
            <w:shd w:val="clear" w:color="auto" w:fill="auto"/>
            <w:vAlign w:val="top"/>
          </w:tcPr>
          <w:p w14:paraId="117456FA">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w:t>
            </w:r>
          </w:p>
        </w:tc>
        <w:tc>
          <w:tcPr>
            <w:tcW w:w="1535" w:type="dxa"/>
            <w:shd w:val="clear" w:color="auto" w:fill="auto"/>
            <w:vAlign w:val="top"/>
          </w:tcPr>
          <w:p w14:paraId="52D83638">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15</w:t>
            </w:r>
          </w:p>
        </w:tc>
        <w:tc>
          <w:tcPr>
            <w:tcW w:w="3938" w:type="dxa"/>
            <w:shd w:val="clear" w:color="auto" w:fill="auto"/>
            <w:vAlign w:val="top"/>
          </w:tcPr>
          <w:p w14:paraId="31185D4D">
            <w:pPr>
              <w:spacing w:before="191" w:line="219" w:lineRule="auto"/>
              <w:ind w:right="1"/>
              <w:jc w:val="left"/>
              <w:rPr>
                <w:rFonts w:hint="eastAsia" w:ascii="宋体" w:hAnsi="宋体" w:eastAsia="宋体" w:cs="宋体"/>
                <w:spacing w:val="-3"/>
                <w:sz w:val="24"/>
                <w:szCs w:val="24"/>
                <w:lang w:val="en-US" w:eastAsia="zh-CN"/>
              </w:rPr>
            </w:pPr>
          </w:p>
        </w:tc>
      </w:tr>
      <w:tr w14:paraId="06EB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shd w:val="clear" w:color="auto" w:fill="auto"/>
            <w:vAlign w:val="top"/>
          </w:tcPr>
          <w:p w14:paraId="5CF079AE">
            <w:pPr>
              <w:spacing w:before="191" w:line="219" w:lineRule="auto"/>
              <w:ind w:right="1"/>
              <w:jc w:val="left"/>
              <w:rPr>
                <w:rFonts w:hint="eastAsia" w:ascii="宋体" w:hAnsi="宋体" w:eastAsia="宋体" w:cs="宋体"/>
                <w:spacing w:val="-3"/>
                <w:sz w:val="24"/>
                <w:szCs w:val="24"/>
                <w:lang w:val="en-US" w:eastAsia="zh-CN"/>
              </w:rPr>
            </w:pPr>
          </w:p>
        </w:tc>
        <w:tc>
          <w:tcPr>
            <w:tcW w:w="1025" w:type="dxa"/>
            <w:shd w:val="clear" w:color="auto" w:fill="auto"/>
            <w:vAlign w:val="top"/>
          </w:tcPr>
          <w:p w14:paraId="343B32A3">
            <w:pPr>
              <w:spacing w:before="191" w:line="219" w:lineRule="auto"/>
              <w:ind w:right="1"/>
              <w:jc w:val="left"/>
              <w:rPr>
                <w:rFonts w:hint="eastAsia" w:ascii="宋体" w:hAnsi="宋体" w:eastAsia="宋体" w:cs="宋体"/>
                <w:spacing w:val="-3"/>
                <w:sz w:val="24"/>
                <w:szCs w:val="24"/>
                <w:lang w:val="en-US" w:eastAsia="zh-CN"/>
              </w:rPr>
            </w:pPr>
          </w:p>
        </w:tc>
        <w:tc>
          <w:tcPr>
            <w:tcW w:w="1221" w:type="dxa"/>
            <w:shd w:val="clear" w:color="auto" w:fill="auto"/>
            <w:vAlign w:val="top"/>
          </w:tcPr>
          <w:p w14:paraId="3E4A43FB">
            <w:pPr>
              <w:spacing w:before="191" w:line="219" w:lineRule="auto"/>
              <w:ind w:right="1"/>
              <w:jc w:val="left"/>
              <w:rPr>
                <w:rFonts w:hint="eastAsia" w:ascii="宋体" w:hAnsi="宋体" w:eastAsia="宋体" w:cs="宋体"/>
                <w:spacing w:val="-3"/>
                <w:sz w:val="24"/>
                <w:szCs w:val="24"/>
                <w:lang w:val="en-US" w:eastAsia="zh-CN"/>
              </w:rPr>
            </w:pPr>
          </w:p>
        </w:tc>
        <w:tc>
          <w:tcPr>
            <w:tcW w:w="1535" w:type="dxa"/>
            <w:shd w:val="clear" w:color="auto" w:fill="auto"/>
            <w:vAlign w:val="top"/>
          </w:tcPr>
          <w:p w14:paraId="6EA1533F">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1875</w:t>
            </w:r>
          </w:p>
        </w:tc>
        <w:tc>
          <w:tcPr>
            <w:tcW w:w="3938" w:type="dxa"/>
            <w:shd w:val="clear" w:color="auto" w:fill="auto"/>
            <w:vAlign w:val="top"/>
          </w:tcPr>
          <w:p w14:paraId="7CC8FDB4">
            <w:pPr>
              <w:spacing w:before="191" w:line="219" w:lineRule="auto"/>
              <w:ind w:right="1"/>
              <w:jc w:val="left"/>
              <w:rPr>
                <w:rFonts w:hint="eastAsia" w:ascii="宋体" w:hAnsi="宋体" w:eastAsia="宋体" w:cs="宋体"/>
                <w:spacing w:val="-3"/>
                <w:sz w:val="24"/>
                <w:szCs w:val="24"/>
                <w:lang w:val="en-US" w:eastAsia="zh-CN"/>
              </w:rPr>
            </w:pPr>
          </w:p>
        </w:tc>
      </w:tr>
    </w:tbl>
    <w:p w14:paraId="2334DA74">
      <w:pPr>
        <w:pStyle w:val="15"/>
        <w:numPr>
          <w:ilvl w:val="0"/>
          <w:numId w:val="0"/>
        </w:numPr>
        <w:spacing w:line="240" w:lineRule="auto"/>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(六)中毒处置背囊</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1068"/>
        <w:gridCol w:w="1245"/>
        <w:gridCol w:w="1515"/>
        <w:gridCol w:w="3874"/>
      </w:tblGrid>
      <w:tr w14:paraId="3170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14:paraId="7E9ACD81">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产品名称</w:t>
            </w:r>
          </w:p>
        </w:tc>
        <w:tc>
          <w:tcPr>
            <w:tcW w:w="1068" w:type="dxa"/>
            <w:vAlign w:val="top"/>
          </w:tcPr>
          <w:p w14:paraId="25D62F24">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单位</w:t>
            </w:r>
          </w:p>
        </w:tc>
        <w:tc>
          <w:tcPr>
            <w:tcW w:w="1245" w:type="dxa"/>
            <w:vAlign w:val="top"/>
          </w:tcPr>
          <w:p w14:paraId="6C291727">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数量</w:t>
            </w:r>
          </w:p>
        </w:tc>
        <w:tc>
          <w:tcPr>
            <w:tcW w:w="1515" w:type="dxa"/>
            <w:vAlign w:val="top"/>
          </w:tcPr>
          <w:p w14:paraId="794BC82D">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预算</w:t>
            </w:r>
          </w:p>
        </w:tc>
        <w:tc>
          <w:tcPr>
            <w:tcW w:w="3874" w:type="dxa"/>
            <w:vAlign w:val="top"/>
          </w:tcPr>
          <w:p w14:paraId="3E9F9F2C">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功能要求</w:t>
            </w:r>
          </w:p>
        </w:tc>
      </w:tr>
      <w:tr w14:paraId="102B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auto"/>
            <w:vAlign w:val="top"/>
          </w:tcPr>
          <w:p w14:paraId="5183719B">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color w:val="FF0000"/>
                <w:spacing w:val="-3"/>
                <w:sz w:val="24"/>
                <w:szCs w:val="24"/>
                <w:lang w:val="en-US" w:eastAsia="zh-CN"/>
              </w:rPr>
              <w:t>分类包囊</w:t>
            </w:r>
          </w:p>
        </w:tc>
        <w:tc>
          <w:tcPr>
            <w:tcW w:w="1068" w:type="dxa"/>
            <w:shd w:val="clear" w:color="auto" w:fill="auto"/>
            <w:vAlign w:val="top"/>
          </w:tcPr>
          <w:p w14:paraId="1B9C5541">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个</w:t>
            </w:r>
          </w:p>
        </w:tc>
        <w:tc>
          <w:tcPr>
            <w:tcW w:w="1245" w:type="dxa"/>
            <w:shd w:val="clear" w:color="auto" w:fill="auto"/>
            <w:vAlign w:val="top"/>
          </w:tcPr>
          <w:p w14:paraId="0D1F7E88">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w:t>
            </w:r>
          </w:p>
        </w:tc>
        <w:tc>
          <w:tcPr>
            <w:tcW w:w="1515" w:type="dxa"/>
            <w:shd w:val="clear" w:color="auto" w:fill="auto"/>
            <w:vAlign w:val="top"/>
          </w:tcPr>
          <w:p w14:paraId="122671A5">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1380</w:t>
            </w:r>
          </w:p>
        </w:tc>
        <w:tc>
          <w:tcPr>
            <w:tcW w:w="3874" w:type="dxa"/>
            <w:shd w:val="clear" w:color="auto" w:fill="auto"/>
            <w:vAlign w:val="top"/>
          </w:tcPr>
          <w:p w14:paraId="3FC055F5">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背负系统，分隔系统，载具系统，色标，物品卡</w:t>
            </w:r>
          </w:p>
          <w:p w14:paraId="7F79390E">
            <w:pPr>
              <w:spacing w:before="191" w:line="219" w:lineRule="auto"/>
              <w:ind w:right="1"/>
              <w:jc w:val="left"/>
              <w:rPr>
                <w:rFonts w:hint="eastAsia" w:ascii="宋体" w:hAnsi="宋体" w:eastAsia="宋体" w:cs="宋体"/>
                <w:spacing w:val="-3"/>
                <w:sz w:val="24"/>
                <w:szCs w:val="24"/>
                <w:lang w:val="en-US" w:eastAsia="zh-CN"/>
              </w:rPr>
            </w:pPr>
            <w:r>
              <w:rPr>
                <w:position w:val="-43"/>
              </w:rPr>
              <w:drawing>
                <wp:inline distT="0" distB="0" distL="0" distR="0">
                  <wp:extent cx="1249680" cy="1393190"/>
                  <wp:effectExtent l="0" t="0" r="7620" b="16510"/>
                  <wp:docPr id="10" name="IM 28"/>
                  <wp:cNvGraphicFramePr/>
                  <a:graphic xmlns:a="http://schemas.openxmlformats.org/drawingml/2006/main">
                    <a:graphicData uri="http://schemas.openxmlformats.org/drawingml/2006/picture">
                      <pic:pic xmlns:pic="http://schemas.openxmlformats.org/drawingml/2006/picture">
                        <pic:nvPicPr>
                          <pic:cNvPr id="10" name="IM 28"/>
                          <pic:cNvPicPr/>
                        </pic:nvPicPr>
                        <pic:blipFill>
                          <a:blip r:embed="rId18"/>
                          <a:stretch>
                            <a:fillRect/>
                          </a:stretch>
                        </pic:blipFill>
                        <pic:spPr>
                          <a:xfrm>
                            <a:off x="0" y="0"/>
                            <a:ext cx="1249680" cy="1393190"/>
                          </a:xfrm>
                          <a:prstGeom prst="rect">
                            <a:avLst/>
                          </a:prstGeom>
                        </pic:spPr>
                      </pic:pic>
                    </a:graphicData>
                  </a:graphic>
                </wp:inline>
              </w:drawing>
            </w:r>
            <w:r>
              <w:rPr>
                <w:position w:val="-46"/>
              </w:rPr>
              <w:drawing>
                <wp:inline distT="0" distB="0" distL="0" distR="0">
                  <wp:extent cx="1151255" cy="1478280"/>
                  <wp:effectExtent l="0" t="0" r="10795" b="7620"/>
                  <wp:docPr id="12" name="IM 30"/>
                  <wp:cNvGraphicFramePr/>
                  <a:graphic xmlns:a="http://schemas.openxmlformats.org/drawingml/2006/main">
                    <a:graphicData uri="http://schemas.openxmlformats.org/drawingml/2006/picture">
                      <pic:pic xmlns:pic="http://schemas.openxmlformats.org/drawingml/2006/picture">
                        <pic:nvPicPr>
                          <pic:cNvPr id="12" name="IM 30"/>
                          <pic:cNvPicPr/>
                        </pic:nvPicPr>
                        <pic:blipFill>
                          <a:blip r:embed="rId19"/>
                          <a:stretch>
                            <a:fillRect/>
                          </a:stretch>
                        </pic:blipFill>
                        <pic:spPr>
                          <a:xfrm>
                            <a:off x="0" y="0"/>
                            <a:ext cx="1151889" cy="1478280"/>
                          </a:xfrm>
                          <a:prstGeom prst="rect">
                            <a:avLst/>
                          </a:prstGeom>
                        </pic:spPr>
                      </pic:pic>
                    </a:graphicData>
                  </a:graphic>
                </wp:inline>
              </w:drawing>
            </w:r>
            <w:r>
              <w:rPr>
                <w:rFonts w:hint="eastAsia" w:ascii="宋体" w:hAnsi="宋体" w:eastAsia="宋体" w:cs="宋体"/>
                <w:spacing w:val="-3"/>
                <w:sz w:val="24"/>
                <w:szCs w:val="24"/>
                <w:lang w:val="en-US" w:eastAsia="zh-CN"/>
              </w:rPr>
              <w:t>仅做参考</w:t>
            </w:r>
          </w:p>
        </w:tc>
      </w:tr>
      <w:tr w14:paraId="5F59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auto"/>
            <w:vAlign w:val="top"/>
          </w:tcPr>
          <w:p w14:paraId="05D9264A">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安全剪刀</w:t>
            </w:r>
          </w:p>
        </w:tc>
        <w:tc>
          <w:tcPr>
            <w:tcW w:w="1068" w:type="dxa"/>
            <w:shd w:val="clear" w:color="auto" w:fill="auto"/>
            <w:vAlign w:val="top"/>
          </w:tcPr>
          <w:p w14:paraId="725FE853">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把</w:t>
            </w:r>
          </w:p>
        </w:tc>
        <w:tc>
          <w:tcPr>
            <w:tcW w:w="1245" w:type="dxa"/>
            <w:shd w:val="clear" w:color="auto" w:fill="auto"/>
            <w:vAlign w:val="top"/>
          </w:tcPr>
          <w:p w14:paraId="395BC8F1">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p>
        </w:tc>
        <w:tc>
          <w:tcPr>
            <w:tcW w:w="1515" w:type="dxa"/>
            <w:shd w:val="clear" w:color="auto" w:fill="auto"/>
            <w:vAlign w:val="top"/>
          </w:tcPr>
          <w:p w14:paraId="6E530EE6">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20</w:t>
            </w:r>
          </w:p>
        </w:tc>
        <w:tc>
          <w:tcPr>
            <w:tcW w:w="3874" w:type="dxa"/>
            <w:shd w:val="clear" w:color="auto" w:fill="auto"/>
            <w:vAlign w:val="top"/>
          </w:tcPr>
          <w:p w14:paraId="4989DE13">
            <w:pPr>
              <w:spacing w:before="191" w:line="219" w:lineRule="auto"/>
              <w:ind w:right="1"/>
              <w:jc w:val="left"/>
              <w:rPr>
                <w:rFonts w:hint="eastAsia" w:ascii="宋体" w:hAnsi="宋体" w:eastAsia="宋体" w:cs="宋体"/>
                <w:spacing w:val="-3"/>
                <w:sz w:val="24"/>
                <w:szCs w:val="24"/>
                <w:lang w:val="en-US" w:eastAsia="zh-CN"/>
              </w:rPr>
            </w:pPr>
          </w:p>
        </w:tc>
      </w:tr>
      <w:tr w14:paraId="47CB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auto"/>
            <w:vAlign w:val="top"/>
          </w:tcPr>
          <w:p w14:paraId="37E7F11D">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医疗垃圾袋</w:t>
            </w:r>
          </w:p>
        </w:tc>
        <w:tc>
          <w:tcPr>
            <w:tcW w:w="1068" w:type="dxa"/>
            <w:shd w:val="clear" w:color="auto" w:fill="auto"/>
            <w:vAlign w:val="top"/>
          </w:tcPr>
          <w:p w14:paraId="0ADAE70C">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个</w:t>
            </w:r>
          </w:p>
        </w:tc>
        <w:tc>
          <w:tcPr>
            <w:tcW w:w="1245" w:type="dxa"/>
            <w:shd w:val="clear" w:color="auto" w:fill="auto"/>
            <w:vAlign w:val="top"/>
          </w:tcPr>
          <w:p w14:paraId="715EB710">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w:t>
            </w:r>
          </w:p>
        </w:tc>
        <w:tc>
          <w:tcPr>
            <w:tcW w:w="1515" w:type="dxa"/>
            <w:shd w:val="clear" w:color="auto" w:fill="auto"/>
            <w:vAlign w:val="top"/>
          </w:tcPr>
          <w:p w14:paraId="083048D1">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w:t>
            </w:r>
          </w:p>
        </w:tc>
        <w:tc>
          <w:tcPr>
            <w:tcW w:w="3874" w:type="dxa"/>
            <w:shd w:val="clear" w:color="auto" w:fill="auto"/>
            <w:vAlign w:val="top"/>
          </w:tcPr>
          <w:p w14:paraId="07EA6FB2">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含塑料尼龙封口扎带</w:t>
            </w:r>
          </w:p>
        </w:tc>
      </w:tr>
      <w:tr w14:paraId="77B2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auto"/>
            <w:vAlign w:val="top"/>
          </w:tcPr>
          <w:p w14:paraId="13DBD4DB">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物品收纳袋</w:t>
            </w:r>
          </w:p>
        </w:tc>
        <w:tc>
          <w:tcPr>
            <w:tcW w:w="1068" w:type="dxa"/>
            <w:shd w:val="clear" w:color="auto" w:fill="auto"/>
            <w:vAlign w:val="top"/>
          </w:tcPr>
          <w:p w14:paraId="5592C07F">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个</w:t>
            </w:r>
          </w:p>
        </w:tc>
        <w:tc>
          <w:tcPr>
            <w:tcW w:w="1245" w:type="dxa"/>
            <w:shd w:val="clear" w:color="auto" w:fill="auto"/>
            <w:vAlign w:val="top"/>
          </w:tcPr>
          <w:p w14:paraId="62A11629">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10</w:t>
            </w:r>
          </w:p>
        </w:tc>
        <w:tc>
          <w:tcPr>
            <w:tcW w:w="1515" w:type="dxa"/>
            <w:shd w:val="clear" w:color="auto" w:fill="auto"/>
            <w:vAlign w:val="top"/>
          </w:tcPr>
          <w:p w14:paraId="3B611B1E">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w:t>
            </w:r>
          </w:p>
        </w:tc>
        <w:tc>
          <w:tcPr>
            <w:tcW w:w="3874" w:type="dxa"/>
            <w:shd w:val="clear" w:color="auto" w:fill="auto"/>
            <w:vAlign w:val="top"/>
          </w:tcPr>
          <w:p w14:paraId="290EB85A">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塑料，伤员贵重物</w:t>
            </w:r>
          </w:p>
        </w:tc>
      </w:tr>
      <w:tr w14:paraId="7E01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auto"/>
            <w:vAlign w:val="top"/>
          </w:tcPr>
          <w:p w14:paraId="52343276">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水桶</w:t>
            </w:r>
          </w:p>
        </w:tc>
        <w:tc>
          <w:tcPr>
            <w:tcW w:w="1068" w:type="dxa"/>
            <w:shd w:val="clear" w:color="auto" w:fill="auto"/>
            <w:vAlign w:val="top"/>
          </w:tcPr>
          <w:p w14:paraId="0C7EDC91">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个</w:t>
            </w:r>
          </w:p>
        </w:tc>
        <w:tc>
          <w:tcPr>
            <w:tcW w:w="1245" w:type="dxa"/>
            <w:shd w:val="clear" w:color="auto" w:fill="auto"/>
            <w:vAlign w:val="top"/>
          </w:tcPr>
          <w:p w14:paraId="47EF8244">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w:t>
            </w:r>
          </w:p>
        </w:tc>
        <w:tc>
          <w:tcPr>
            <w:tcW w:w="1515" w:type="dxa"/>
            <w:shd w:val="clear" w:color="auto" w:fill="auto"/>
            <w:vAlign w:val="top"/>
          </w:tcPr>
          <w:p w14:paraId="792DEB1F">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20</w:t>
            </w:r>
          </w:p>
        </w:tc>
        <w:tc>
          <w:tcPr>
            <w:tcW w:w="3874" w:type="dxa"/>
            <w:shd w:val="clear" w:color="auto" w:fill="auto"/>
            <w:vAlign w:val="top"/>
          </w:tcPr>
          <w:p w14:paraId="57FB2E12">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折叠式硅胶；皮肤、伤口洗消；器具和防具消毒</w:t>
            </w:r>
          </w:p>
        </w:tc>
      </w:tr>
      <w:tr w14:paraId="155A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auto"/>
            <w:vAlign w:val="top"/>
          </w:tcPr>
          <w:p w14:paraId="43D23403">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毛巾</w:t>
            </w:r>
          </w:p>
        </w:tc>
        <w:tc>
          <w:tcPr>
            <w:tcW w:w="1068" w:type="dxa"/>
            <w:shd w:val="clear" w:color="auto" w:fill="auto"/>
            <w:vAlign w:val="top"/>
          </w:tcPr>
          <w:p w14:paraId="1C3A2C64">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张</w:t>
            </w:r>
          </w:p>
        </w:tc>
        <w:tc>
          <w:tcPr>
            <w:tcW w:w="1245" w:type="dxa"/>
            <w:shd w:val="clear" w:color="auto" w:fill="auto"/>
            <w:vAlign w:val="top"/>
          </w:tcPr>
          <w:p w14:paraId="3B8FD625">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w:t>
            </w:r>
          </w:p>
        </w:tc>
        <w:tc>
          <w:tcPr>
            <w:tcW w:w="1515" w:type="dxa"/>
            <w:shd w:val="clear" w:color="auto" w:fill="auto"/>
            <w:vAlign w:val="top"/>
          </w:tcPr>
          <w:p w14:paraId="7976D0F4">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10</w:t>
            </w:r>
          </w:p>
        </w:tc>
        <w:tc>
          <w:tcPr>
            <w:tcW w:w="3874" w:type="dxa"/>
            <w:shd w:val="clear" w:color="auto" w:fill="auto"/>
            <w:vAlign w:val="top"/>
          </w:tcPr>
          <w:p w14:paraId="13091C2C">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 xml:space="preserve">洗消 </w:t>
            </w:r>
          </w:p>
        </w:tc>
      </w:tr>
      <w:tr w14:paraId="6721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auto"/>
            <w:vAlign w:val="top"/>
          </w:tcPr>
          <w:p w14:paraId="6B3B9FDB">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医用垃圾袋</w:t>
            </w:r>
          </w:p>
        </w:tc>
        <w:tc>
          <w:tcPr>
            <w:tcW w:w="1068" w:type="dxa"/>
            <w:shd w:val="clear" w:color="auto" w:fill="auto"/>
            <w:vAlign w:val="top"/>
          </w:tcPr>
          <w:p w14:paraId="0D898715">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个</w:t>
            </w:r>
          </w:p>
        </w:tc>
        <w:tc>
          <w:tcPr>
            <w:tcW w:w="1245" w:type="dxa"/>
            <w:shd w:val="clear" w:color="auto" w:fill="auto"/>
            <w:vAlign w:val="top"/>
          </w:tcPr>
          <w:p w14:paraId="2EC05F23">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10</w:t>
            </w:r>
          </w:p>
        </w:tc>
        <w:tc>
          <w:tcPr>
            <w:tcW w:w="1515" w:type="dxa"/>
            <w:shd w:val="clear" w:color="auto" w:fill="auto"/>
            <w:vAlign w:val="top"/>
          </w:tcPr>
          <w:p w14:paraId="010EF41F">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w:t>
            </w:r>
          </w:p>
        </w:tc>
        <w:tc>
          <w:tcPr>
            <w:tcW w:w="3874" w:type="dxa"/>
            <w:shd w:val="clear" w:color="auto" w:fill="auto"/>
            <w:vAlign w:val="top"/>
          </w:tcPr>
          <w:p w14:paraId="4FB8D5EE">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含塑料尼龙封口扎带</w:t>
            </w:r>
          </w:p>
        </w:tc>
      </w:tr>
      <w:tr w14:paraId="6E9E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auto"/>
            <w:vAlign w:val="top"/>
          </w:tcPr>
          <w:p w14:paraId="10C1B8E0">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医用锐器盒</w:t>
            </w:r>
          </w:p>
        </w:tc>
        <w:tc>
          <w:tcPr>
            <w:tcW w:w="1068" w:type="dxa"/>
            <w:shd w:val="clear" w:color="auto" w:fill="auto"/>
            <w:vAlign w:val="top"/>
          </w:tcPr>
          <w:p w14:paraId="202ADE08">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个</w:t>
            </w:r>
          </w:p>
        </w:tc>
        <w:tc>
          <w:tcPr>
            <w:tcW w:w="1245" w:type="dxa"/>
            <w:shd w:val="clear" w:color="auto" w:fill="auto"/>
            <w:vAlign w:val="top"/>
          </w:tcPr>
          <w:p w14:paraId="7C0A6440">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w:t>
            </w:r>
          </w:p>
        </w:tc>
        <w:tc>
          <w:tcPr>
            <w:tcW w:w="1515" w:type="dxa"/>
            <w:shd w:val="clear" w:color="auto" w:fill="auto"/>
            <w:vAlign w:val="top"/>
          </w:tcPr>
          <w:p w14:paraId="5EFF8F45">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w:t>
            </w:r>
          </w:p>
        </w:tc>
        <w:tc>
          <w:tcPr>
            <w:tcW w:w="3874" w:type="dxa"/>
            <w:shd w:val="clear" w:color="auto" w:fill="auto"/>
            <w:vAlign w:val="top"/>
          </w:tcPr>
          <w:p w14:paraId="06FD15E8">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规格≤0.5L</w:t>
            </w:r>
          </w:p>
        </w:tc>
      </w:tr>
      <w:tr w14:paraId="43AA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auto"/>
            <w:vAlign w:val="top"/>
          </w:tcPr>
          <w:p w14:paraId="381DFCE9">
            <w:pPr>
              <w:spacing w:before="191" w:line="219" w:lineRule="auto"/>
              <w:ind w:right="1"/>
              <w:jc w:val="left"/>
              <w:rPr>
                <w:rFonts w:hint="eastAsia" w:ascii="宋体" w:hAnsi="宋体" w:eastAsia="宋体" w:cs="宋体"/>
                <w:spacing w:val="-3"/>
                <w:sz w:val="24"/>
                <w:szCs w:val="24"/>
                <w:lang w:val="en-US" w:eastAsia="zh-CN"/>
              </w:rPr>
            </w:pPr>
          </w:p>
        </w:tc>
        <w:tc>
          <w:tcPr>
            <w:tcW w:w="1068" w:type="dxa"/>
            <w:shd w:val="clear" w:color="auto" w:fill="auto"/>
            <w:vAlign w:val="top"/>
          </w:tcPr>
          <w:p w14:paraId="7C33B857">
            <w:pPr>
              <w:spacing w:before="191" w:line="219" w:lineRule="auto"/>
              <w:ind w:right="1"/>
              <w:jc w:val="left"/>
              <w:rPr>
                <w:rFonts w:hint="eastAsia" w:ascii="宋体" w:hAnsi="宋体" w:eastAsia="宋体" w:cs="宋体"/>
                <w:spacing w:val="-3"/>
                <w:sz w:val="24"/>
                <w:szCs w:val="24"/>
                <w:lang w:val="en-US" w:eastAsia="zh-CN"/>
              </w:rPr>
            </w:pPr>
          </w:p>
        </w:tc>
        <w:tc>
          <w:tcPr>
            <w:tcW w:w="1245" w:type="dxa"/>
            <w:shd w:val="clear" w:color="auto" w:fill="auto"/>
            <w:vAlign w:val="top"/>
          </w:tcPr>
          <w:p w14:paraId="4AA9A4AE">
            <w:pPr>
              <w:spacing w:before="191" w:line="219" w:lineRule="auto"/>
              <w:ind w:right="1"/>
              <w:jc w:val="left"/>
              <w:rPr>
                <w:rFonts w:hint="eastAsia" w:ascii="宋体" w:hAnsi="宋体" w:eastAsia="宋体" w:cs="宋体"/>
                <w:spacing w:val="-3"/>
                <w:sz w:val="24"/>
                <w:szCs w:val="24"/>
                <w:lang w:val="en-US" w:eastAsia="zh-CN"/>
              </w:rPr>
            </w:pPr>
          </w:p>
        </w:tc>
        <w:tc>
          <w:tcPr>
            <w:tcW w:w="1515" w:type="dxa"/>
            <w:shd w:val="clear" w:color="auto" w:fill="auto"/>
            <w:vAlign w:val="top"/>
          </w:tcPr>
          <w:p w14:paraId="4B11ED56">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1450</w:t>
            </w:r>
          </w:p>
        </w:tc>
        <w:tc>
          <w:tcPr>
            <w:tcW w:w="3874" w:type="dxa"/>
            <w:shd w:val="clear" w:color="auto" w:fill="auto"/>
            <w:vAlign w:val="top"/>
          </w:tcPr>
          <w:p w14:paraId="39D7690C">
            <w:pPr>
              <w:spacing w:before="191" w:line="219" w:lineRule="auto"/>
              <w:ind w:right="1"/>
              <w:jc w:val="left"/>
              <w:rPr>
                <w:rFonts w:hint="eastAsia" w:ascii="宋体" w:hAnsi="宋体" w:eastAsia="宋体" w:cs="宋体"/>
                <w:spacing w:val="-3"/>
                <w:sz w:val="24"/>
                <w:szCs w:val="24"/>
                <w:lang w:val="en-US" w:eastAsia="zh-CN"/>
              </w:rPr>
            </w:pPr>
          </w:p>
        </w:tc>
      </w:tr>
    </w:tbl>
    <w:p w14:paraId="615D399A">
      <w:pPr>
        <w:pStyle w:val="15"/>
        <w:numPr>
          <w:ilvl w:val="0"/>
          <w:numId w:val="0"/>
        </w:numPr>
        <w:spacing w:line="240" w:lineRule="auto"/>
        <w:ind w:left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tbl>
      <w:tblPr>
        <w:tblStyle w:val="16"/>
        <w:tblW w:w="8998" w:type="dxa"/>
        <w:jc w:val="center"/>
        <w:tblLayout w:type="fixed"/>
        <w:tblCellMar>
          <w:top w:w="0" w:type="dxa"/>
          <w:left w:w="108" w:type="dxa"/>
          <w:bottom w:w="0" w:type="dxa"/>
          <w:right w:w="108" w:type="dxa"/>
        </w:tblCellMar>
      </w:tblPr>
      <w:tblGrid>
        <w:gridCol w:w="523"/>
        <w:gridCol w:w="924"/>
        <w:gridCol w:w="777"/>
        <w:gridCol w:w="5883"/>
        <w:gridCol w:w="891"/>
      </w:tblGrid>
      <w:tr w14:paraId="7884C5DD">
        <w:tblPrEx>
          <w:tblCellMar>
            <w:top w:w="0" w:type="dxa"/>
            <w:left w:w="108" w:type="dxa"/>
            <w:bottom w:w="0" w:type="dxa"/>
            <w:right w:w="108" w:type="dxa"/>
          </w:tblCellMar>
        </w:tblPrEx>
        <w:trPr>
          <w:cantSplit/>
          <w:trHeight w:val="1638"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63091050">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541720C0">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14:paraId="477D64D1">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06414E33">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5C66B405">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67C12C2">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14:paraId="66A740C6">
        <w:tblPrEx>
          <w:tblCellMar>
            <w:top w:w="0" w:type="dxa"/>
            <w:left w:w="108" w:type="dxa"/>
            <w:bottom w:w="0" w:type="dxa"/>
            <w:right w:w="108" w:type="dxa"/>
          </w:tblCellMar>
        </w:tblPrEx>
        <w:trPr>
          <w:trHeight w:val="4486"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2533AB3C">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63C33B8C">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639D89FE">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20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677E1B96">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满足招标文件要求且投标价格最低的投标报价为评标基准价，其价格分为满分。其他供应商的价格分统一按照下列公式计算：投标报价得分=(评标基准价÷投标报价)×30%×100；（最低价基准法）</w:t>
            </w:r>
          </w:p>
          <w:p w14:paraId="3DD96B25">
            <w:pPr>
              <w:rPr>
                <w:rFonts w:hint="eastAsia" w:ascii="仿宋" w:hAnsi="仿宋" w:eastAsia="仿宋" w:cs="仿宋"/>
                <w:kern w:val="1"/>
                <w:sz w:val="32"/>
                <w:szCs w:val="32"/>
                <w:lang w:val="en-US" w:eastAsia="zh-CN"/>
              </w:rPr>
            </w:pP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88AC91D">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14:paraId="1D09AD49">
        <w:tblPrEx>
          <w:tblCellMar>
            <w:top w:w="0" w:type="dxa"/>
            <w:left w:w="108" w:type="dxa"/>
            <w:bottom w:w="0" w:type="dxa"/>
            <w:right w:w="108" w:type="dxa"/>
          </w:tblCellMar>
        </w:tblPrEx>
        <w:trPr>
          <w:trHeight w:val="1638"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469EF226">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2</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545F1534">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lang w:eastAsia="zh-CN"/>
              </w:rPr>
              <w:t>技术要求</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2C0CD449">
            <w:pPr>
              <w:spacing w:line="320" w:lineRule="atLeast"/>
              <w:jc w:val="both"/>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20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03BB832D">
            <w:pPr>
              <w:rPr>
                <w:rFonts w:hint="eastAsia" w:ascii="仿宋" w:hAnsi="仿宋" w:eastAsia="仿宋" w:cs="仿宋"/>
                <w:sz w:val="32"/>
                <w:szCs w:val="32"/>
                <w:lang w:val="en-US" w:eastAsia="zh-CN"/>
              </w:rPr>
            </w:pPr>
            <w:r>
              <w:rPr>
                <w:rFonts w:hint="eastAsia" w:ascii="仿宋" w:hAnsi="仿宋" w:eastAsia="仿宋" w:cs="仿宋"/>
                <w:kern w:val="1"/>
                <w:sz w:val="32"/>
                <w:szCs w:val="32"/>
                <w:lang w:val="en-US" w:eastAsia="zh-CN"/>
              </w:rPr>
              <w:t>根据供应商对技术，完全响应文件要求没有负偏离的得满分，有一项负偏离的扣1分，扣完为止</w:t>
            </w:r>
            <w:r>
              <w:rPr>
                <w:rFonts w:hint="eastAsia" w:ascii="仿宋" w:hAnsi="仿宋" w:eastAsia="仿宋" w:cs="仿宋"/>
                <w:kern w:val="1"/>
                <w:sz w:val="32"/>
                <w:szCs w:val="32"/>
              </w:rPr>
              <w:t>。</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D122799">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14:paraId="6BB82DFB">
        <w:tblPrEx>
          <w:tblCellMar>
            <w:top w:w="0" w:type="dxa"/>
            <w:left w:w="108" w:type="dxa"/>
            <w:bottom w:w="0" w:type="dxa"/>
            <w:right w:w="108" w:type="dxa"/>
          </w:tblCellMar>
        </w:tblPrEx>
        <w:trPr>
          <w:trHeight w:val="1711"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58701085">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3</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6160F429">
            <w:pPr>
              <w:spacing w:line="320" w:lineRule="atLeast"/>
              <w:jc w:val="center"/>
              <w:rPr>
                <w:rFonts w:hint="eastAsia" w:ascii="仿宋" w:hAnsi="仿宋" w:eastAsia="仿宋" w:cs="仿宋"/>
                <w:sz w:val="32"/>
                <w:szCs w:val="32"/>
              </w:rPr>
            </w:pPr>
          </w:p>
          <w:p w14:paraId="7E082E88">
            <w:pPr>
              <w:spacing w:line="320" w:lineRule="atLeas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样品评审</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00BCB798">
            <w:pPr>
              <w:rPr>
                <w:rFonts w:hint="default" w:ascii="仿宋" w:hAnsi="仿宋" w:eastAsia="仿宋" w:cs="仿宋"/>
                <w:sz w:val="32"/>
                <w:szCs w:val="32"/>
                <w:lang w:val="en-US" w:eastAsia="zh-CN"/>
              </w:rPr>
            </w:pPr>
            <w:r>
              <w:rPr>
                <w:rFonts w:hint="eastAsia" w:ascii="仿宋" w:hAnsi="仿宋" w:eastAsia="仿宋" w:cs="仿宋"/>
                <w:kern w:val="1"/>
                <w:sz w:val="32"/>
                <w:szCs w:val="32"/>
                <w:lang w:val="en-US" w:eastAsia="zh-CN"/>
              </w:rPr>
              <w:t>40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341D7044">
            <w:pPr>
              <w:numPr>
                <w:ilvl w:val="0"/>
                <w:numId w:val="3"/>
              </w:num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样品质量10分</w:t>
            </w:r>
          </w:p>
          <w:p w14:paraId="59869764">
            <w:pPr>
              <w:numPr>
                <w:ilvl w:val="0"/>
                <w:numId w:val="3"/>
              </w:num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样品是否符合要求10分</w:t>
            </w:r>
          </w:p>
          <w:p w14:paraId="25C08F12">
            <w:pPr>
              <w:numPr>
                <w:ilvl w:val="0"/>
                <w:numId w:val="3"/>
              </w:num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样品舒适度10分</w:t>
            </w:r>
          </w:p>
          <w:p w14:paraId="220FA4ED">
            <w:pPr>
              <w:numPr>
                <w:ilvl w:val="0"/>
                <w:numId w:val="3"/>
              </w:num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样品功能10分</w:t>
            </w:r>
          </w:p>
          <w:p w14:paraId="3619403C">
            <w:pPr>
              <w:numPr>
                <w:ilvl w:val="0"/>
                <w:numId w:val="0"/>
              </w:numPr>
              <w:rPr>
                <w:rFonts w:hint="default" w:ascii="仿宋" w:hAnsi="仿宋" w:eastAsia="仿宋" w:cs="仿宋"/>
                <w:kern w:val="1"/>
                <w:sz w:val="32"/>
                <w:szCs w:val="32"/>
                <w:lang w:val="en-US" w:eastAsia="zh-CN"/>
              </w:rPr>
            </w:pPr>
          </w:p>
          <w:p w14:paraId="63C2D4FC">
            <w:pPr>
              <w:numPr>
                <w:ilvl w:val="0"/>
                <w:numId w:val="0"/>
              </w:num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本项需要对样品打分，不提供样品为0分，需要提供的样品为：冬上衣，春秋夹克，鞋子，2种分类背囊，如果标书为邮寄，在样品中请写清楚回寄地址，以便评审后发到付快递</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14BD86E">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14:paraId="7C4C6428">
        <w:tblPrEx>
          <w:tblCellMar>
            <w:top w:w="0" w:type="dxa"/>
            <w:left w:w="108" w:type="dxa"/>
            <w:bottom w:w="0" w:type="dxa"/>
            <w:right w:w="108" w:type="dxa"/>
          </w:tblCellMar>
        </w:tblPrEx>
        <w:trPr>
          <w:trHeight w:val="1711"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3245FF9B">
            <w:pPr>
              <w:spacing w:line="320" w:lineRule="atLeast"/>
              <w:jc w:val="cente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26CE9273">
            <w:pPr>
              <w:spacing w:line="320" w:lineRule="atLeas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售后服务</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11E08717">
            <w:pPr>
              <w:numPr>
                <w:ilvl w:val="0"/>
                <w:numId w:val="0"/>
              </w:num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20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5D7A3EF9">
            <w:pPr>
              <w:numPr>
                <w:ilvl w:val="0"/>
                <w:numId w:val="0"/>
              </w:num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根据投标人针对本项目提供的供货服务方案，包括但不限于：1、运输方式2、供货期保障措施3、供货人员安排等进行综合评分4、产品质量保障。每项5分</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365940C">
            <w:pPr>
              <w:spacing w:line="320" w:lineRule="atLeast"/>
              <w:jc w:val="center"/>
              <w:rPr>
                <w:rFonts w:hint="eastAsia" w:ascii="仿宋" w:hAnsi="仿宋" w:eastAsia="仿宋" w:cs="仿宋"/>
                <w:sz w:val="32"/>
                <w:szCs w:val="32"/>
              </w:rPr>
            </w:pPr>
          </w:p>
        </w:tc>
      </w:tr>
    </w:tbl>
    <w:p w14:paraId="7C4F2811">
      <w:pPr>
        <w:pStyle w:val="15"/>
        <w:numPr>
          <w:ilvl w:val="0"/>
          <w:numId w:val="0"/>
        </w:numPr>
        <w:spacing w:line="240" w:lineRule="auto"/>
        <w:ind w:leftChars="0"/>
        <w:rPr>
          <w:rFonts w:hint="default" w:ascii="仿宋" w:hAnsi="仿宋" w:eastAsia="仿宋" w:cs="仿宋"/>
          <w:sz w:val="32"/>
          <w:szCs w:val="32"/>
          <w:lang w:val="en-US" w:eastAsia="zh-CN"/>
        </w:rPr>
      </w:pPr>
    </w:p>
    <w:p w14:paraId="75E1DD18">
      <w:pPr>
        <w:pStyle w:val="15"/>
        <w:numPr>
          <w:ilvl w:val="0"/>
          <w:numId w:val="0"/>
        </w:numPr>
        <w:spacing w:line="240" w:lineRule="auto"/>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项目2：医疗设备一批，预算3.6万元</w:t>
      </w:r>
    </w:p>
    <w:tbl>
      <w:tblPr>
        <w:tblStyle w:val="17"/>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900"/>
        <w:gridCol w:w="825"/>
        <w:gridCol w:w="1230"/>
        <w:gridCol w:w="5541"/>
      </w:tblGrid>
      <w:tr w14:paraId="4C94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tcPr>
          <w:p w14:paraId="499F5DC5">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名称</w:t>
            </w:r>
          </w:p>
        </w:tc>
        <w:tc>
          <w:tcPr>
            <w:tcW w:w="900" w:type="dxa"/>
          </w:tcPr>
          <w:p w14:paraId="690E614F">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单价</w:t>
            </w:r>
          </w:p>
        </w:tc>
        <w:tc>
          <w:tcPr>
            <w:tcW w:w="825" w:type="dxa"/>
          </w:tcPr>
          <w:p w14:paraId="3D36B874">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数量</w:t>
            </w:r>
          </w:p>
        </w:tc>
        <w:tc>
          <w:tcPr>
            <w:tcW w:w="1230" w:type="dxa"/>
          </w:tcPr>
          <w:p w14:paraId="33533F2A">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总价（元）</w:t>
            </w:r>
          </w:p>
        </w:tc>
        <w:tc>
          <w:tcPr>
            <w:tcW w:w="5541" w:type="dxa"/>
          </w:tcPr>
          <w:p w14:paraId="193EE18C">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技术参数</w:t>
            </w:r>
          </w:p>
        </w:tc>
      </w:tr>
      <w:tr w14:paraId="44DC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tcPr>
          <w:p w14:paraId="58B28C41">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便携式多参监护仪</w:t>
            </w:r>
          </w:p>
        </w:tc>
        <w:tc>
          <w:tcPr>
            <w:tcW w:w="900" w:type="dxa"/>
          </w:tcPr>
          <w:p w14:paraId="3E951FEF">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3100</w:t>
            </w:r>
          </w:p>
        </w:tc>
        <w:tc>
          <w:tcPr>
            <w:tcW w:w="825" w:type="dxa"/>
          </w:tcPr>
          <w:p w14:paraId="73BDC481">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w:t>
            </w:r>
          </w:p>
        </w:tc>
        <w:tc>
          <w:tcPr>
            <w:tcW w:w="1230" w:type="dxa"/>
          </w:tcPr>
          <w:p w14:paraId="6D66F3AD">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6200</w:t>
            </w:r>
          </w:p>
        </w:tc>
        <w:tc>
          <w:tcPr>
            <w:tcW w:w="5541" w:type="dxa"/>
          </w:tcPr>
          <w:p w14:paraId="33BB417E">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 监护仪尺寸和重量</w:t>
            </w:r>
          </w:p>
          <w:p w14:paraId="40328475">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 xml:space="preserve">▲M7: 尺寸：246.5*146.4*50.7mm±5      液晶屏尺寸：大于等于7英寸        </w:t>
            </w:r>
          </w:p>
          <w:p w14:paraId="5B437BC7">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 工作环境符合</w:t>
            </w:r>
          </w:p>
          <w:p w14:paraId="7C21AAD3">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温度范围 工作温度：5～40 ℃    湿度范围  工作湿度：15%～80%,无凝结</w:t>
            </w:r>
          </w:p>
          <w:p w14:paraId="6D07EC50">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大气压力复合：86.0kPa~106.0kPa</w:t>
            </w:r>
          </w:p>
          <w:p w14:paraId="5BB09874">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 电气规格：</w:t>
            </w:r>
          </w:p>
          <w:p w14:paraId="2C043EF3">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 xml:space="preserve">220V±10%,50Hz±2%, </w:t>
            </w:r>
          </w:p>
          <w:p w14:paraId="14F29E5F">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4. 电池：</w:t>
            </w:r>
          </w:p>
          <w:p w14:paraId="069BC0BB">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内置锂电池： ≥2200mAh 可充电锂电池</w:t>
            </w:r>
          </w:p>
          <w:p w14:paraId="0E64E1A3">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三、心电规格 (ECG)</w:t>
            </w:r>
          </w:p>
          <w:p w14:paraId="016626CF">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 导联模式：五导联或三导联可选</w:t>
            </w:r>
          </w:p>
          <w:p w14:paraId="67B75684">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三导联：RA、LA、LL, 导联方式：I,II,Ⅲ</w:t>
            </w:r>
          </w:p>
          <w:p w14:paraId="1806B14C">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五导联：RA、LA、LL、RL、V, 导联方式：I,II,Ⅲ,aVR,aVL,aVF,V</w:t>
            </w:r>
          </w:p>
          <w:p w14:paraId="77B4FA0C">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 增益： 0.25,0.5,1,2,自动</w:t>
            </w:r>
          </w:p>
          <w:p w14:paraId="68DC3AD9">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 心率：心率范围：   成人       15～300bpm   (搏/分) 新生儿/儿童 1 5～350  bpm (搏/分)</w:t>
            </w:r>
          </w:p>
          <w:p w14:paraId="3FE2A19E">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4.  精度：  ±1%或±1bpm,  取大者</w:t>
            </w:r>
          </w:p>
          <w:p w14:paraId="2E7CC3DF">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 分辨率：1bpm (搏/分)</w:t>
            </w:r>
          </w:p>
          <w:p w14:paraId="20380E20">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6. 带宽  诊断模式：0.05～130Hz; 监护模式：0.5～40Hz; 手术模式：1～20Hz</w:t>
            </w:r>
          </w:p>
          <w:p w14:paraId="2670C33E">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7. 共模抑制比</w:t>
            </w:r>
          </w:p>
          <w:p w14:paraId="6EA1E5C9">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诊断模式&gt;90 dB   监护模式&gt;100dB  手术模式&gt;100dB</w:t>
            </w:r>
          </w:p>
          <w:p w14:paraId="0CEB7923">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8. 心率报警范围</w:t>
            </w:r>
          </w:p>
          <w:p w14:paraId="44F175D1">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上限(成人):17～ 300bpm</w:t>
            </w:r>
          </w:p>
          <w:p w14:paraId="42AB1542">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上限(新生儿/儿童): 17～350  bpm 下限(成人):15～298bpm</w:t>
            </w:r>
          </w:p>
          <w:p w14:paraId="555CB901">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下限(新生儿/儿童):15～348bpm 分辨率：±1bpm</w:t>
            </w:r>
          </w:p>
          <w:p w14:paraId="07AB85DE">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报警限误差：±1%或±1bpm, 取大者</w:t>
            </w:r>
          </w:p>
          <w:p w14:paraId="37833C7D">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四 、呼吸规格 (RESP)</w:t>
            </w:r>
          </w:p>
          <w:p w14:paraId="0E5166FD">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 测量方法：RA-LL阻抗法</w:t>
            </w:r>
          </w:p>
          <w:p w14:paraId="1EA81BA9">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2.测量范围：成人： 0～120BrPM      儿童/新生儿：0～150 BrPM</w:t>
            </w:r>
          </w:p>
          <w:p w14:paraId="092B1F36">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在 7BrPM~120BrPM 范围内，测量误差应为±2BrPM。其它范围内误差不予定义</w:t>
            </w:r>
          </w:p>
          <w:p w14:paraId="283A7E36">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五、血氧规格 (SPO2)</w:t>
            </w:r>
          </w:p>
          <w:p w14:paraId="1979BB0F">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 测量范围： 0～100%</w:t>
            </w:r>
          </w:p>
          <w:p w14:paraId="0EFD6742">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2.分辨率：   1%</w:t>
            </w:r>
          </w:p>
          <w:p w14:paraId="4B5657CA">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 精度：在70%～100%范围内，测量误差应为±4%; 在0%～69%范围内，测量误差不予定义</w:t>
            </w:r>
          </w:p>
          <w:p w14:paraId="1EAA7386">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六、脉率规格(PR)</w:t>
            </w:r>
          </w:p>
          <w:p w14:paraId="7A24B44F">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 测量范围：30～240 bpm</w:t>
            </w:r>
          </w:p>
          <w:p w14:paraId="15394F3B">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 分辨率：1bpm</w:t>
            </w:r>
          </w:p>
          <w:p w14:paraId="05ED77FC">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 精度：±3bpm</w:t>
            </w:r>
          </w:p>
          <w:p w14:paraId="7EF03C9E">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七、无创血压规格 (NIBP)</w:t>
            </w:r>
          </w:p>
          <w:p w14:paraId="465BB9B0">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 测量技术：振荡法</w:t>
            </w:r>
          </w:p>
          <w:p w14:paraId="08D3DF98">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 测量参数：收缩压、舒张压、平均压</w:t>
            </w:r>
          </w:p>
          <w:p w14:paraId="67AE3A3C">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 测量模式：手动、连续、自动</w:t>
            </w:r>
          </w:p>
          <w:p w14:paraId="399DB060">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4.连续测量模式的测量时间：5分钟</w:t>
            </w:r>
          </w:p>
          <w:p w14:paraId="78155A9A">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 自动测量模式的测量间隔时间：1,2,3,4,5,10,15,30,60,90,120,180,240,480 分钟</w:t>
            </w:r>
          </w:p>
          <w:p w14:paraId="08508518">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6. 计量单位：mmHg/KPa</w:t>
            </w:r>
          </w:p>
          <w:p w14:paraId="140BD261">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7. 测量范围和精度：</w:t>
            </w:r>
          </w:p>
          <w:p w14:paraId="36356CAB">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测量范围：</w:t>
            </w:r>
          </w:p>
          <w:p w14:paraId="74BF2BFC">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成人   收缩压：40～270mmHg     舒张压：10～210mmHg    平均压：20～230mmHg</w:t>
            </w:r>
          </w:p>
          <w:p w14:paraId="49BD39F1">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儿童    收缩压：40～200mmHg      舒张压：10～150mmHg   平均压：20～165mmHg</w:t>
            </w:r>
          </w:p>
          <w:p w14:paraId="37EA77A2">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新生儿 收缩压：40～135mmHg     舒张压：10～95mmHg    平均压：20～110mmHg</w:t>
            </w:r>
          </w:p>
          <w:p w14:paraId="17C34CFF">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静态压力范围：0～300mmHg      静态压力精度：±3  mmHg</w:t>
            </w:r>
          </w:p>
          <w:p w14:paraId="170F6369">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血压精度：最大平均误差  5 mmHg;</w:t>
            </w:r>
          </w:p>
          <w:p w14:paraId="6B689EBB">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最大标准偏差8mmHg</w:t>
            </w:r>
          </w:p>
          <w:p w14:paraId="7BA82339">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9. 过压保护</w:t>
            </w:r>
          </w:p>
          <w:p w14:paraId="10A3A009">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成人模式300 mmHg±10mmHg</w:t>
            </w:r>
          </w:p>
          <w:p w14:paraId="600370F6">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儿童模式240mmHg±10mmHg</w:t>
            </w:r>
          </w:p>
          <w:p w14:paraId="71CD1134">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新生儿模式150mmHg±10mmHg</w:t>
            </w:r>
          </w:p>
          <w:p w14:paraId="57DFEC3B">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八、体温规格 (TEMP)</w:t>
            </w:r>
          </w:p>
          <w:p w14:paraId="408A0D0D">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 测量范围：0～50℃        2. 分辨率：0.1℃</w:t>
            </w:r>
          </w:p>
          <w:p w14:paraId="3CBCBB34">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 报警准确度： 0.1C(不包含传感器误差)</w:t>
            </w:r>
          </w:p>
          <w:p w14:paraId="640A48F8">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4. 通道数：单通道</w:t>
            </w:r>
          </w:p>
          <w:p w14:paraId="586F3586">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九、 呼吸末二氧化碳规格 (ETCO2)</w:t>
            </w:r>
          </w:p>
          <w:p w14:paraId="5B5AE3EA">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1.CO2 测量范围0～99mmHg(OkPa～13.2kPa)</w:t>
            </w:r>
          </w:p>
          <w:p w14:paraId="0E0DDCDC">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 精度0～40mmHg(0 kPa～5.33kPa)  ±2mmHg(±0.3 kPa)</w:t>
            </w:r>
          </w:p>
          <w:p w14:paraId="0744CF40">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41～76mmHg(5.47 kPa～10.1kPa)    ±5mmHg(±0.7 kPa)   77～99mmHg(10.3kPa～13.2kPa)  ±10mmHg(±1.3 kPa)</w:t>
            </w:r>
          </w:p>
          <w:p w14:paraId="2FF050B3">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 分辨率1mmHg(0.1kPa)</w:t>
            </w:r>
          </w:p>
          <w:p w14:paraId="5B7016EF">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4. 报警设置范围0～99mmHg(OkPa～13.2kPa)</w:t>
            </w:r>
          </w:p>
          <w:p w14:paraId="20D2A4BB">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 报警准确度±1mmHg(±0.1kPa)</w:t>
            </w:r>
          </w:p>
        </w:tc>
      </w:tr>
      <w:tr w14:paraId="57CA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tcPr>
          <w:p w14:paraId="0E5A3FA9">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呼末二氧化碳检测仪</w:t>
            </w:r>
          </w:p>
        </w:tc>
        <w:tc>
          <w:tcPr>
            <w:tcW w:w="900" w:type="dxa"/>
          </w:tcPr>
          <w:p w14:paraId="2B24B886">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11200</w:t>
            </w:r>
          </w:p>
        </w:tc>
        <w:tc>
          <w:tcPr>
            <w:tcW w:w="825" w:type="dxa"/>
          </w:tcPr>
          <w:p w14:paraId="2D21BA77">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p>
        </w:tc>
        <w:tc>
          <w:tcPr>
            <w:tcW w:w="1230" w:type="dxa"/>
          </w:tcPr>
          <w:p w14:paraId="00C0D50B">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11200</w:t>
            </w:r>
          </w:p>
        </w:tc>
        <w:tc>
          <w:tcPr>
            <w:tcW w:w="5541" w:type="dxa"/>
          </w:tcPr>
          <w:p w14:paraId="10B339D9">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CO₂测量范围</w:t>
            </w:r>
          </w:p>
          <w:p w14:paraId="46BEF3FA">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0-99mmHg</w:t>
            </w:r>
          </w:p>
          <w:p w14:paraId="26A295DD">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0-9.9 kPa</w:t>
            </w:r>
          </w:p>
          <w:p w14:paraId="4E8DBE14">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0-9.9%</w:t>
            </w:r>
          </w:p>
          <w:p w14:paraId="3AF9B509">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CO₂测量精度</w:t>
            </w:r>
          </w:p>
          <w:p w14:paraId="18A2EDD1">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0-40mmHg±2mmHg</w:t>
            </w:r>
          </w:p>
          <w:p w14:paraId="3D8A32B5">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 xml:space="preserve">41-99mmHg±8% </w:t>
            </w:r>
          </w:p>
          <w:p w14:paraId="79C8240A">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0-5.3%±0.26%</w:t>
            </w:r>
          </w:p>
          <w:p w14:paraId="0E1B8F1E">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 xml:space="preserve">5.4-9.9%±8% </w:t>
            </w:r>
          </w:p>
          <w:p w14:paraId="524E3290">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0-5.3kPa±0.26%</w:t>
            </w:r>
          </w:p>
          <w:p w14:paraId="5B584229">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5.4-9.9kPa±8%</w:t>
            </w:r>
          </w:p>
          <w:p w14:paraId="117E1A2A">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呼吸率测量范围</w:t>
            </w:r>
          </w:p>
          <w:p w14:paraId="378DAFB8">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3-150bpm</w:t>
            </w:r>
          </w:p>
          <w:p w14:paraId="3CF6C9CE">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呼吸率测量精度</w:t>
            </w:r>
          </w:p>
          <w:p w14:paraId="4D503C23">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±1bpm</w:t>
            </w:r>
          </w:p>
          <w:p w14:paraId="743F529E">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显示屏</w:t>
            </w:r>
          </w:p>
          <w:p w14:paraId="5E934960">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≥1.4寸彩色TFT</w:t>
            </w:r>
          </w:p>
          <w:p w14:paraId="554FF987">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重量 ＜70g(含碱性电池）</w:t>
            </w:r>
          </w:p>
          <w:p w14:paraId="3E230C8F">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使用温度</w:t>
            </w:r>
          </w:p>
          <w:p w14:paraId="3168D467">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0 to 40℃</w:t>
            </w:r>
          </w:p>
          <w:p w14:paraId="0018C050">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使用大气压</w:t>
            </w:r>
          </w:p>
          <w:p w14:paraId="16D22A91">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70 to 120kPa</w:t>
            </w:r>
          </w:p>
          <w:p w14:paraId="1E7B29AB">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数据传输</w:t>
            </w:r>
          </w:p>
          <w:p w14:paraId="70B764ED">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蓝牙(可选)</w:t>
            </w:r>
          </w:p>
          <w:p w14:paraId="7D5EF7D2">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系统响应时间</w:t>
            </w:r>
          </w:p>
          <w:p w14:paraId="4BEF0E3F">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＜500ms</w:t>
            </w:r>
          </w:p>
          <w:p w14:paraId="19B42041">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成人气道适配器</w:t>
            </w:r>
          </w:p>
          <w:p w14:paraId="0478D0A6">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死腔≤6ml</w:t>
            </w:r>
          </w:p>
          <w:p w14:paraId="027C032A">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小儿/婴幼儿气道适配器</w:t>
            </w:r>
          </w:p>
          <w:p w14:paraId="1B3C4334">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死腔≤1ml</w:t>
            </w:r>
          </w:p>
        </w:tc>
      </w:tr>
      <w:tr w14:paraId="15CA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tcPr>
          <w:p w14:paraId="3B1E66E6">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除颤仪（AED）</w:t>
            </w:r>
          </w:p>
        </w:tc>
        <w:tc>
          <w:tcPr>
            <w:tcW w:w="900" w:type="dxa"/>
          </w:tcPr>
          <w:p w14:paraId="1C24CA58">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7400</w:t>
            </w:r>
          </w:p>
        </w:tc>
        <w:tc>
          <w:tcPr>
            <w:tcW w:w="825" w:type="dxa"/>
          </w:tcPr>
          <w:p w14:paraId="3BAB8680">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p>
        </w:tc>
        <w:tc>
          <w:tcPr>
            <w:tcW w:w="1230" w:type="dxa"/>
          </w:tcPr>
          <w:p w14:paraId="6C3B7B21">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7400</w:t>
            </w:r>
          </w:p>
        </w:tc>
        <w:tc>
          <w:tcPr>
            <w:tcW w:w="5541" w:type="dxa"/>
          </w:tcPr>
          <w:p w14:paraId="290DA771">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1.主机设备使用寿命≥8年。（提供机身铭牌证明使用寿命）</w:t>
            </w:r>
          </w:p>
          <w:p w14:paraId="5AE1FA8D">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2.投标设备具备便携把手。支持开盖开机。</w:t>
            </w:r>
          </w:p>
          <w:p w14:paraId="729BEA14">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▲3.开机后设备主机界面可有效操作按键及拨片≤3个（包含实体和非实体按键），防止误操作。有效操作是指：按键后，设备具有对应的按键功能反馈。（提供产品说明书或实机特写图片佐证按键及拨片≤3个）</w:t>
            </w:r>
          </w:p>
          <w:p w14:paraId="66E460D9">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4.工作温度范围至少满足-5℃～50℃，且从室温环境下进入-10℃环境后，至少能工作60分钟，工作湿度范围：5～95%，非冷凝。</w:t>
            </w:r>
          </w:p>
          <w:p w14:paraId="2DD4D993">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5.抗冲击/跌落性能：具备抗冲击/跌落性能，机器六面均可承受≥1m跌落冲击无损。</w:t>
            </w:r>
          </w:p>
          <w:p w14:paraId="2E16DFA3">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▲6.采用双相波技术，支持成人以及儿童，波形参数可根据病人阻抗进行自动补偿，支持病人阻抗范围：20Ω-300Ω。（提供产品说明书佐证）</w:t>
            </w:r>
          </w:p>
          <w:p w14:paraId="569A39E9">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★7.输出能量：成人最大除颤能量≥360J，设备具备独立放电按钮，放电按钮上具有放电标识。（提供产品说明书佐证）</w:t>
            </w:r>
          </w:p>
          <w:p w14:paraId="05980BE1">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▲8.支持200J能量除颤次数大于350次。（提供产品说明书佐证）</w:t>
            </w:r>
          </w:p>
          <w:p w14:paraId="57FC8086">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9.从开机到200J放电准备就绪时间≤7s。</w:t>
            </w:r>
          </w:p>
          <w:p w14:paraId="224C8A0B">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10.开始AED分析到200J放电准备就绪时间≤5s。</w:t>
            </w:r>
          </w:p>
          <w:p w14:paraId="3D01B64A">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▲11.单副电极片出厂有效期：≥36个月。（提供电极片标签图片，并能明确证明有效期不小于36个月）</w:t>
            </w:r>
          </w:p>
          <w:p w14:paraId="413B6F6F">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12.可自动识别电极片，并根据电极片类型自动选择对应的除颤能量。</w:t>
            </w:r>
          </w:p>
          <w:p w14:paraId="3CE87ED6">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▲13.使用与投标产品同品牌专用电池，电池有效期≥6年，同时标注失效日期。（提供电池标签图片，并能明确证明电池有效期≥6年）</w:t>
            </w:r>
          </w:p>
          <w:p w14:paraId="2D4E9544">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★14.支持中英文双语，主机面板具有快速切换中英文实体按键，符合公共领域使用要求。（提供实机特写图片或产品说明书佐证）</w:t>
            </w:r>
          </w:p>
          <w:p w14:paraId="65FC238C">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15.AED设备支持成人和小儿患者类型快速一键切换，自动切换提示信息、除颤能量。</w:t>
            </w:r>
          </w:p>
          <w:p w14:paraId="65434F28">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▲16.标配CPR节拍器，提供按压质量实时语音指导，提高CPR按压质量，支持30：2或15：2。语音播放最大音量不小于80dB。（提供产品说明书佐证）</w:t>
            </w:r>
          </w:p>
          <w:p w14:paraId="79CD9FED">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▲17.设备主机界面具备电池电量百分比数值显示功能，直观显示电池电量。（提供投标产品实机图片佐证）</w:t>
            </w:r>
          </w:p>
          <w:p w14:paraId="1A976D36">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18.数据传输：主机设备支持升级配置3G或4G或5G或WIFI传输功能。</w:t>
            </w:r>
          </w:p>
          <w:p w14:paraId="202BF168">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19.AED设备支持USB数据导出功能。（提供投标产品实机图片佐证）</w:t>
            </w:r>
          </w:p>
          <w:p w14:paraId="12C72FD7">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20.支持每日、每周设备自检，列明自检项目，设备可存储大于1000份自检报告和大于500条报警事件。（提供产品说明书佐证）</w:t>
            </w:r>
          </w:p>
          <w:p w14:paraId="746D32C2">
            <w:pPr>
              <w:spacing w:before="191" w:line="219" w:lineRule="auto"/>
              <w:ind w:right="1"/>
              <w:jc w:val="left"/>
              <w:rPr>
                <w:rFonts w:hint="eastAsia" w:ascii="宋体" w:hAnsi="宋体" w:eastAsia="宋体" w:cs="宋体"/>
                <w:spacing w:val="-3"/>
                <w:sz w:val="24"/>
                <w:szCs w:val="24"/>
                <w:lang w:val="en-US" w:eastAsia="zh-CN"/>
              </w:rPr>
            </w:pPr>
          </w:p>
        </w:tc>
      </w:tr>
      <w:tr w14:paraId="6280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tcPr>
          <w:p w14:paraId="3A820E65">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加温加压输液仪</w:t>
            </w:r>
          </w:p>
        </w:tc>
        <w:tc>
          <w:tcPr>
            <w:tcW w:w="900" w:type="dxa"/>
          </w:tcPr>
          <w:p w14:paraId="725C7D62">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11200</w:t>
            </w:r>
          </w:p>
        </w:tc>
        <w:tc>
          <w:tcPr>
            <w:tcW w:w="825" w:type="dxa"/>
          </w:tcPr>
          <w:p w14:paraId="39E03212">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p>
        </w:tc>
        <w:tc>
          <w:tcPr>
            <w:tcW w:w="1230" w:type="dxa"/>
          </w:tcPr>
          <w:p w14:paraId="1AD31926">
            <w:pPr>
              <w:spacing w:before="191" w:line="219" w:lineRule="auto"/>
              <w:ind w:right="1"/>
              <w:jc w:val="left"/>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11200</w:t>
            </w:r>
          </w:p>
        </w:tc>
        <w:tc>
          <w:tcPr>
            <w:tcW w:w="5541" w:type="dxa"/>
          </w:tcPr>
          <w:p w14:paraId="0A2C636A">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1、安全类型：I 类BF型防除颤；</w:t>
            </w:r>
          </w:p>
          <w:p w14:paraId="1D507F71">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2、运行模式：连续运行；</w:t>
            </w:r>
          </w:p>
          <w:p w14:paraId="4902420C">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3、防护等级不低于IPX2;</w:t>
            </w:r>
          </w:p>
          <w:p w14:paraId="0FB46317">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4、电源条件：100VAC～240VAC   50Hz/60Hz;</w:t>
            </w:r>
          </w:p>
          <w:p w14:paraId="0C902854">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5、最大加热功率: ≥200VA ;</w:t>
            </w:r>
          </w:p>
          <w:p w14:paraId="750EE39F">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7、设定温度自动记忆功能；</w:t>
            </w:r>
          </w:p>
          <w:p w14:paraId="087E9FFD">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8、可插拔式加热管路；</w:t>
            </w:r>
          </w:p>
          <w:p w14:paraId="1D58CA60">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▲9、自动识别加热管路规格；</w:t>
            </w:r>
          </w:p>
          <w:p w14:paraId="606D5C82">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10、加热管规格类型，满足市面上各种型号输液管品规，根据需求任意搭配</w:t>
            </w:r>
          </w:p>
          <w:p w14:paraId="0EB4925D">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11、温度调整步距：0.5℃；</w:t>
            </w:r>
          </w:p>
          <w:p w14:paraId="576CFEEB">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12、温控精度：±1.0℃；</w:t>
            </w:r>
          </w:p>
          <w:p w14:paraId="0523D0F3">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▲13、预热时间： 从室温23℃加热到39℃的时间应＜60秒；</w:t>
            </w:r>
          </w:p>
          <w:p w14:paraId="5FB496BC">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14、加热输出状态通过颜色条显示，用于安全提醒并及时设置合适的温度；</w:t>
            </w:r>
          </w:p>
          <w:p w14:paraId="3C95CAAE">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15、加热指示采用动态标识；</w:t>
            </w:r>
          </w:p>
          <w:p w14:paraId="4FE96800">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16、具备设定温度自动记忆功能；</w:t>
            </w:r>
          </w:p>
          <w:p w14:paraId="6D0FAD1C">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17、常采微电脑精准控制温度报警系统；</w:t>
            </w:r>
          </w:p>
          <w:p w14:paraId="769B9CAB">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18、报警及保护：低温报警、高温报警、超温报警、传感器故障报警、加热故障报警；</w:t>
            </w:r>
          </w:p>
          <w:p w14:paraId="0F362413">
            <w:pPr>
              <w:spacing w:before="191" w:line="219" w:lineRule="auto"/>
              <w:ind w:right="1"/>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▲19、具有加热温度自动补偿功能</w:t>
            </w:r>
          </w:p>
          <w:p w14:paraId="29E70985">
            <w:pPr>
              <w:spacing w:before="191" w:line="219" w:lineRule="auto"/>
              <w:ind w:right="1"/>
              <w:jc w:val="left"/>
              <w:rPr>
                <w:rFonts w:hint="eastAsia" w:ascii="宋体" w:hAnsi="宋体" w:eastAsia="宋体" w:cs="宋体"/>
                <w:spacing w:val="-3"/>
                <w:sz w:val="24"/>
                <w:szCs w:val="24"/>
                <w:lang w:val="en-US" w:eastAsia="zh-CN"/>
              </w:rPr>
            </w:pPr>
          </w:p>
        </w:tc>
      </w:tr>
    </w:tbl>
    <w:p w14:paraId="66A9FB3C">
      <w:pPr>
        <w:pStyle w:val="15"/>
        <w:numPr>
          <w:ilvl w:val="0"/>
          <w:numId w:val="0"/>
        </w:numPr>
        <w:spacing w:line="240" w:lineRule="auto"/>
        <w:ind w:leftChars="0" w:firstLine="640"/>
        <w:rPr>
          <w:rFonts w:hint="default" w:ascii="仿宋" w:hAnsi="仿宋" w:eastAsia="仿宋" w:cs="仿宋"/>
          <w:sz w:val="32"/>
          <w:szCs w:val="32"/>
          <w:lang w:val="en-US" w:eastAsia="zh-CN"/>
        </w:rPr>
      </w:pPr>
      <w:r>
        <w:rPr>
          <w:rFonts w:hint="eastAsia" w:ascii="宋体" w:hAnsi="宋体" w:eastAsia="宋体" w:cs="宋体"/>
          <w:spacing w:val="-3"/>
          <w:sz w:val="24"/>
          <w:szCs w:val="24"/>
          <w:lang w:val="en-US" w:eastAsia="zh-CN"/>
        </w:rPr>
        <w:t>★</w:t>
      </w:r>
      <w:r>
        <w:rPr>
          <w:rFonts w:hint="eastAsia" w:ascii="宋体" w:hAnsi="宋体" w:cs="宋体"/>
          <w:spacing w:val="-3"/>
          <w:sz w:val="24"/>
          <w:szCs w:val="24"/>
          <w:lang w:val="en-US" w:eastAsia="zh-CN"/>
        </w:rPr>
        <w:t>为实质性要求，带</w:t>
      </w:r>
      <w:r>
        <w:rPr>
          <w:rFonts w:hint="eastAsia" w:ascii="宋体" w:hAnsi="宋体" w:eastAsia="宋体" w:cs="宋体"/>
          <w:spacing w:val="-3"/>
          <w:sz w:val="24"/>
          <w:szCs w:val="24"/>
          <w:lang w:val="en-US" w:eastAsia="zh-CN"/>
        </w:rPr>
        <w:t>▲</w:t>
      </w:r>
      <w:r>
        <w:rPr>
          <w:rFonts w:hint="eastAsia" w:ascii="宋体" w:hAnsi="宋体" w:cs="宋体"/>
          <w:spacing w:val="-3"/>
          <w:sz w:val="24"/>
          <w:szCs w:val="24"/>
          <w:lang w:val="en-US" w:eastAsia="zh-CN"/>
        </w:rPr>
        <w:t>需要提供相应佐证（彩页或者检测报告）</w:t>
      </w:r>
    </w:p>
    <w:p w14:paraId="6E33F1D2">
      <w:pPr>
        <w:pStyle w:val="5"/>
        <w:rPr>
          <w:rFonts w:hint="eastAsia" w:ascii="黑体" w:hAnsi="黑体" w:eastAsia="黑体" w:cs="黑体"/>
          <w:sz w:val="32"/>
          <w:szCs w:val="40"/>
          <w:lang w:eastAsia="zh-CN"/>
        </w:rPr>
      </w:pPr>
    </w:p>
    <w:p w14:paraId="55875158">
      <w:pPr>
        <w:pStyle w:val="5"/>
        <w:rPr>
          <w:rFonts w:hint="eastAsia" w:ascii="黑体" w:hAnsi="黑体" w:eastAsia="黑体" w:cs="黑体"/>
          <w:sz w:val="32"/>
          <w:szCs w:val="40"/>
          <w:lang w:eastAsia="zh-CN"/>
        </w:rPr>
      </w:pPr>
    </w:p>
    <w:p w14:paraId="710926B1">
      <w:pPr>
        <w:rPr>
          <w:rFonts w:hint="eastAsia" w:ascii="黑体" w:hAnsi="黑体" w:eastAsia="黑体" w:cs="黑体"/>
          <w:sz w:val="32"/>
          <w:szCs w:val="40"/>
          <w:lang w:eastAsia="zh-CN"/>
        </w:rPr>
      </w:pPr>
      <w:r>
        <w:rPr>
          <w:rFonts w:hint="eastAsia" w:ascii="黑体" w:hAnsi="黑体" w:eastAsia="黑体" w:cs="黑体"/>
          <w:sz w:val="32"/>
          <w:szCs w:val="40"/>
          <w:lang w:eastAsia="zh-CN"/>
        </w:rPr>
        <w:br w:type="page"/>
      </w:r>
    </w:p>
    <w:p w14:paraId="64C81A04">
      <w:pPr>
        <w:pStyle w:val="5"/>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16"/>
        <w:tblW w:w="8998" w:type="dxa"/>
        <w:jc w:val="center"/>
        <w:tblLayout w:type="fixed"/>
        <w:tblCellMar>
          <w:top w:w="0" w:type="dxa"/>
          <w:left w:w="108" w:type="dxa"/>
          <w:bottom w:w="0" w:type="dxa"/>
          <w:right w:w="108" w:type="dxa"/>
        </w:tblCellMar>
      </w:tblPr>
      <w:tblGrid>
        <w:gridCol w:w="523"/>
        <w:gridCol w:w="924"/>
        <w:gridCol w:w="777"/>
        <w:gridCol w:w="5883"/>
        <w:gridCol w:w="891"/>
      </w:tblGrid>
      <w:tr w14:paraId="0A9D3E96">
        <w:tblPrEx>
          <w:tblCellMar>
            <w:top w:w="0" w:type="dxa"/>
            <w:left w:w="108" w:type="dxa"/>
            <w:bottom w:w="0" w:type="dxa"/>
            <w:right w:w="108" w:type="dxa"/>
          </w:tblCellMar>
        </w:tblPrEx>
        <w:trPr>
          <w:cantSplit/>
          <w:trHeight w:val="1638"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100F8D1F">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36D67F3F">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14:paraId="630DCD16">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47479FA7">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10DA6C46">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419FA75">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14:paraId="69D0255C">
        <w:tblPrEx>
          <w:tblCellMar>
            <w:top w:w="0" w:type="dxa"/>
            <w:left w:w="108" w:type="dxa"/>
            <w:bottom w:w="0" w:type="dxa"/>
            <w:right w:w="108" w:type="dxa"/>
          </w:tblCellMar>
        </w:tblPrEx>
        <w:trPr>
          <w:trHeight w:val="3439"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63D4EE3D">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25125F31">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4B964B05">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30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3A98F04C">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满足招标文件要求且投标价格最低的投标报价为评标基准价，其价格分为满分。其他供应商的价格分统一按照下列公式计算：投标报价得分=(评标基准价÷投标报价)×30%×100；（最低价基准法）</w:t>
            </w:r>
          </w:p>
          <w:p w14:paraId="6043ACB2">
            <w:pPr>
              <w:rPr>
                <w:rFonts w:hint="eastAsia" w:ascii="仿宋" w:hAnsi="仿宋" w:eastAsia="仿宋" w:cs="仿宋"/>
                <w:kern w:val="1"/>
                <w:sz w:val="32"/>
                <w:szCs w:val="32"/>
                <w:lang w:val="en-US" w:eastAsia="zh-CN"/>
              </w:rPr>
            </w:pP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9EF94F1">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14:paraId="16BABEE6">
        <w:tblPrEx>
          <w:tblCellMar>
            <w:top w:w="0" w:type="dxa"/>
            <w:left w:w="108" w:type="dxa"/>
            <w:bottom w:w="0" w:type="dxa"/>
            <w:right w:w="108" w:type="dxa"/>
          </w:tblCellMar>
        </w:tblPrEx>
        <w:trPr>
          <w:trHeight w:val="1638"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6811EF21">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2</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3F3739FD">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lang w:eastAsia="zh-CN"/>
              </w:rPr>
              <w:t>技术要求</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4825B459">
            <w:pPr>
              <w:spacing w:line="320" w:lineRule="atLeast"/>
              <w:jc w:val="both"/>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30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2D981637">
            <w:pPr>
              <w:rPr>
                <w:rFonts w:hint="eastAsia" w:ascii="仿宋" w:hAnsi="仿宋" w:eastAsia="仿宋" w:cs="仿宋"/>
                <w:sz w:val="32"/>
                <w:szCs w:val="32"/>
                <w:lang w:val="en-US" w:eastAsia="zh-CN"/>
              </w:rPr>
            </w:pPr>
            <w:r>
              <w:rPr>
                <w:rFonts w:hint="eastAsia" w:ascii="仿宋" w:hAnsi="仿宋" w:eastAsia="仿宋" w:cs="仿宋"/>
                <w:kern w:val="1"/>
                <w:sz w:val="32"/>
                <w:szCs w:val="32"/>
                <w:lang w:val="en-US" w:eastAsia="zh-CN"/>
              </w:rPr>
              <w:t>根据供应商对技术，完全响应文件要求没有负偏离的得满分，有一项负偏离的扣0.5分，扣完为止</w:t>
            </w:r>
            <w:r>
              <w:rPr>
                <w:rFonts w:hint="eastAsia" w:ascii="仿宋" w:hAnsi="仿宋" w:eastAsia="仿宋" w:cs="仿宋"/>
                <w:kern w:val="1"/>
                <w:sz w:val="32"/>
                <w:szCs w:val="32"/>
              </w:rPr>
              <w:t>。</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E2148F3">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14:paraId="6AD8BE43">
        <w:tblPrEx>
          <w:tblCellMar>
            <w:top w:w="0" w:type="dxa"/>
            <w:left w:w="108" w:type="dxa"/>
            <w:bottom w:w="0" w:type="dxa"/>
            <w:right w:w="108" w:type="dxa"/>
          </w:tblCellMar>
        </w:tblPrEx>
        <w:trPr>
          <w:trHeight w:val="1711"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2575E6D1">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3</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66204BF3">
            <w:pPr>
              <w:spacing w:line="320" w:lineRule="atLeas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售后服务</w:t>
            </w:r>
          </w:p>
          <w:p w14:paraId="7A0B0B27">
            <w:pPr>
              <w:spacing w:line="320" w:lineRule="atLeast"/>
              <w:jc w:val="center"/>
              <w:rPr>
                <w:rFonts w:hint="eastAsia" w:ascii="仿宋" w:hAnsi="仿宋" w:eastAsia="仿宋" w:cs="仿宋"/>
                <w:sz w:val="32"/>
                <w:szCs w:val="32"/>
                <w:lang w:eastAsia="zh-CN"/>
              </w:rPr>
            </w:pP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0C938C50">
            <w:pPr>
              <w:rPr>
                <w:rFonts w:hint="default" w:ascii="仿宋" w:hAnsi="仿宋" w:eastAsia="仿宋" w:cs="仿宋"/>
                <w:sz w:val="32"/>
                <w:szCs w:val="32"/>
                <w:lang w:val="en-US" w:eastAsia="zh-CN"/>
              </w:rPr>
            </w:pPr>
            <w:r>
              <w:rPr>
                <w:rFonts w:hint="eastAsia" w:ascii="仿宋" w:hAnsi="仿宋" w:eastAsia="仿宋" w:cs="仿宋"/>
                <w:kern w:val="1"/>
                <w:sz w:val="32"/>
                <w:szCs w:val="32"/>
                <w:lang w:val="en-US" w:eastAsia="zh-CN"/>
              </w:rPr>
              <w:t>40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5ABAD156">
            <w:pPr>
              <w:rPr>
                <w:rFonts w:hint="default" w:ascii="仿宋" w:hAnsi="仿宋" w:eastAsia="仿宋" w:cs="仿宋"/>
                <w:sz w:val="32"/>
                <w:szCs w:val="32"/>
                <w:lang w:val="en-US" w:eastAsia="zh-CN"/>
              </w:rPr>
            </w:pPr>
            <w:r>
              <w:rPr>
                <w:rFonts w:hint="eastAsia" w:ascii="仿宋" w:hAnsi="仿宋" w:eastAsia="仿宋" w:cs="仿宋"/>
                <w:kern w:val="1"/>
                <w:sz w:val="32"/>
                <w:szCs w:val="32"/>
                <w:lang w:val="en-US" w:eastAsia="zh-CN"/>
              </w:rPr>
              <w:t>根据投标人针对本项目提供的供货服务方案，包括但不限于：1、运输方式2、供货期保障措施3、供货人员安排等进行综合评分4、产品质量保障，每项10分</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BA9E0A2">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bl>
    <w:p w14:paraId="21D12043">
      <w:pPr>
        <w:pStyle w:val="15"/>
        <w:numPr>
          <w:ilvl w:val="0"/>
          <w:numId w:val="0"/>
        </w:numPr>
        <w:spacing w:line="240" w:lineRule="auto"/>
        <w:ind w:leftChars="0" w:firstLine="640"/>
        <w:rPr>
          <w:rFonts w:hint="default" w:ascii="仿宋" w:hAnsi="仿宋" w:eastAsia="仿宋" w:cs="仿宋"/>
          <w:sz w:val="32"/>
          <w:szCs w:val="32"/>
          <w:lang w:val="en-US" w:eastAsia="zh-CN"/>
        </w:rPr>
      </w:pPr>
    </w:p>
    <w:p w14:paraId="675DE11C">
      <w:pPr>
        <w:pStyle w:val="15"/>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14:paraId="25B49758">
      <w:pPr>
        <w:pStyle w:val="15"/>
        <w:numPr>
          <w:ilvl w:val="0"/>
          <w:numId w:val="4"/>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响应时间：签订合同后20日内完成交货。</w:t>
      </w:r>
    </w:p>
    <w:p w14:paraId="3FD701B2">
      <w:pPr>
        <w:pStyle w:val="15"/>
        <w:numPr>
          <w:ilvl w:val="0"/>
          <w:numId w:val="4"/>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服务要求：供应商必须在限期进行交货。</w:t>
      </w:r>
    </w:p>
    <w:p w14:paraId="61CE8424">
      <w:pPr>
        <w:pStyle w:val="15"/>
        <w:numPr>
          <w:ilvl w:val="0"/>
          <w:numId w:val="4"/>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w:t>
      </w:r>
      <w:r>
        <w:rPr>
          <w:rFonts w:hint="eastAsia" w:ascii="仿宋" w:hAnsi="仿宋" w:eastAsia="仿宋" w:cs="仿宋"/>
          <w:color w:val="0000FF"/>
          <w:sz w:val="32"/>
          <w:szCs w:val="32"/>
          <w:lang w:val="en-US" w:eastAsia="zh-CN"/>
        </w:rPr>
        <w:t>验收并收到发票以后60日内支付货款</w:t>
      </w:r>
      <w:r>
        <w:rPr>
          <w:rFonts w:hint="eastAsia" w:ascii="仿宋" w:hAnsi="仿宋" w:eastAsia="仿宋" w:cs="仿宋"/>
          <w:sz w:val="32"/>
          <w:szCs w:val="32"/>
          <w:lang w:val="en-US" w:eastAsia="zh-CN"/>
        </w:rPr>
        <w:t>。</w:t>
      </w:r>
    </w:p>
    <w:p w14:paraId="522A0EED">
      <w:pPr>
        <w:pStyle w:val="15"/>
        <w:numPr>
          <w:ilvl w:val="0"/>
          <w:numId w:val="4"/>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质量要求：</w:t>
      </w:r>
    </w:p>
    <w:p w14:paraId="6625B2F2">
      <w:pPr>
        <w:pStyle w:val="35"/>
        <w:keepNext w:val="0"/>
        <w:keepLines w:val="0"/>
        <w:pageBreakBefore w:val="0"/>
        <w:widowControl w:val="0"/>
        <w:kinsoku/>
        <w:wordWrap/>
        <w:overflowPunct/>
        <w:topLinePunct w:val="0"/>
        <w:bidi w:val="0"/>
        <w:snapToGrid/>
        <w:spacing w:line="44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乙方须提供全新的货物（含零部件、配件等），表面无划伤、无碰撞痕迹，且权属清楚，不得侵害他人的知识产权。</w:t>
      </w:r>
    </w:p>
    <w:p w14:paraId="39E75AEE">
      <w:pPr>
        <w:pStyle w:val="35"/>
        <w:keepNext w:val="0"/>
        <w:keepLines w:val="0"/>
        <w:pageBreakBefore w:val="0"/>
        <w:widowControl w:val="0"/>
        <w:kinsoku/>
        <w:wordWrap/>
        <w:overflowPunct/>
        <w:topLinePunct w:val="0"/>
        <w:bidi w:val="0"/>
        <w:snapToGrid/>
        <w:spacing w:line="44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货物必须符合</w:t>
      </w:r>
      <w:r>
        <w:rPr>
          <w:rFonts w:hint="eastAsia" w:ascii="仿宋" w:hAnsi="仿宋" w:eastAsia="仿宋" w:cs="仿宋"/>
          <w:color w:val="000000"/>
          <w:sz w:val="32"/>
          <w:szCs w:val="32"/>
          <w:lang w:eastAsia="zh-CN"/>
        </w:rPr>
        <w:t>或优于</w:t>
      </w:r>
      <w:r>
        <w:rPr>
          <w:rFonts w:hint="eastAsia" w:ascii="仿宋" w:hAnsi="仿宋" w:eastAsia="仿宋" w:cs="仿宋"/>
          <w:color w:val="000000"/>
          <w:sz w:val="32"/>
          <w:szCs w:val="32"/>
        </w:rPr>
        <w:t>国家（行业）标准，以及本项目招标文件的质量要求和技术指标与出厂标准。</w:t>
      </w:r>
    </w:p>
    <w:p w14:paraId="070A00FA">
      <w:pPr>
        <w:pStyle w:val="35"/>
        <w:keepNext w:val="0"/>
        <w:keepLines w:val="0"/>
        <w:pageBreakBefore w:val="0"/>
        <w:widowControl w:val="0"/>
        <w:kinsoku/>
        <w:wordWrap/>
        <w:overflowPunct/>
        <w:topLinePunct w:val="0"/>
        <w:bidi w:val="0"/>
        <w:snapToGrid/>
        <w:spacing w:line="440" w:lineRule="exact"/>
        <w:ind w:firstLine="480"/>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货物出现质量问题，乙方应负责三包（包修、包换、包退），费用由乙方负担</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甲方</w:t>
      </w:r>
      <w:r>
        <w:rPr>
          <w:rFonts w:hint="eastAsia" w:ascii="仿宋" w:hAnsi="仿宋" w:eastAsia="仿宋" w:cs="仿宋"/>
          <w:color w:val="auto"/>
          <w:sz w:val="32"/>
          <w:szCs w:val="32"/>
        </w:rPr>
        <w:t>有权到</w:t>
      </w:r>
      <w:r>
        <w:rPr>
          <w:rFonts w:hint="eastAsia" w:ascii="仿宋" w:hAnsi="仿宋" w:eastAsia="仿宋" w:cs="仿宋"/>
          <w:color w:val="auto"/>
          <w:sz w:val="32"/>
          <w:szCs w:val="32"/>
          <w:lang w:eastAsia="zh-CN"/>
        </w:rPr>
        <w:t>乙方</w:t>
      </w:r>
      <w:r>
        <w:rPr>
          <w:rFonts w:hint="eastAsia" w:ascii="仿宋" w:hAnsi="仿宋" w:eastAsia="仿宋" w:cs="仿宋"/>
          <w:color w:val="auto"/>
          <w:sz w:val="32"/>
          <w:szCs w:val="32"/>
        </w:rPr>
        <w:t>生产场地检查货物质量和生产进度</w:t>
      </w:r>
      <w:r>
        <w:rPr>
          <w:rFonts w:hint="eastAsia" w:ascii="仿宋" w:hAnsi="仿宋" w:eastAsia="仿宋" w:cs="仿宋"/>
          <w:color w:val="000000"/>
          <w:sz w:val="32"/>
          <w:szCs w:val="32"/>
        </w:rPr>
        <w:t>。</w:t>
      </w:r>
    </w:p>
    <w:p w14:paraId="42DCC2E2">
      <w:pPr>
        <w:pStyle w:val="15"/>
        <w:numPr>
          <w:ilvl w:val="0"/>
          <w:numId w:val="4"/>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违约责任：</w:t>
      </w:r>
    </w:p>
    <w:p w14:paraId="64D5283E">
      <w:pPr>
        <w:pStyle w:val="35"/>
        <w:keepNext w:val="0"/>
        <w:keepLines w:val="0"/>
        <w:pageBreakBefore w:val="0"/>
        <w:widowControl w:val="0"/>
        <w:kinsoku/>
        <w:wordWrap/>
        <w:overflowPunct/>
        <w:topLinePunct w:val="0"/>
        <w:bidi w:val="0"/>
        <w:snapToGrid/>
        <w:spacing w:line="44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甲方违约责任</w:t>
      </w:r>
    </w:p>
    <w:p w14:paraId="58C3F406">
      <w:pPr>
        <w:pStyle w:val="35"/>
        <w:keepNext w:val="0"/>
        <w:keepLines w:val="0"/>
        <w:pageBreakBefore w:val="0"/>
        <w:widowControl w:val="0"/>
        <w:kinsoku/>
        <w:wordWrap/>
        <w:overflowPunct/>
        <w:topLinePunct w:val="0"/>
        <w:bidi w:val="0"/>
        <w:snapToGrid/>
        <w:spacing w:line="44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（1）甲方无正当理由拒收货物的，甲方应偿付合同总价百分之</w:t>
      </w:r>
      <w:r>
        <w:rPr>
          <w:rFonts w:hint="eastAsia" w:ascii="仿宋" w:hAnsi="仿宋" w:eastAsia="仿宋" w:cs="仿宋"/>
          <w:color w:val="000000"/>
          <w:sz w:val="32"/>
          <w:szCs w:val="32"/>
          <w:lang w:val="en-US" w:eastAsia="zh-CN"/>
        </w:rPr>
        <w:t>十</w:t>
      </w:r>
      <w:r>
        <w:rPr>
          <w:rFonts w:hint="eastAsia" w:ascii="仿宋" w:hAnsi="仿宋" w:eastAsia="仿宋" w:cs="仿宋"/>
          <w:color w:val="000000"/>
          <w:sz w:val="32"/>
          <w:szCs w:val="32"/>
        </w:rPr>
        <w:t>的违约金；</w:t>
      </w:r>
    </w:p>
    <w:p w14:paraId="35AC6085">
      <w:pPr>
        <w:pStyle w:val="35"/>
        <w:keepNext w:val="0"/>
        <w:keepLines w:val="0"/>
        <w:pageBreakBefore w:val="0"/>
        <w:widowControl w:val="0"/>
        <w:kinsoku/>
        <w:wordWrap/>
        <w:overflowPunct/>
        <w:topLinePunct w:val="0"/>
        <w:bidi w:val="0"/>
        <w:snapToGrid/>
        <w:spacing w:line="44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（2）甲方逾期支付</w:t>
      </w:r>
      <w:r>
        <w:rPr>
          <w:rFonts w:hint="eastAsia" w:ascii="仿宋" w:hAnsi="仿宋" w:eastAsia="仿宋" w:cs="仿宋"/>
          <w:color w:val="000000"/>
          <w:sz w:val="32"/>
          <w:szCs w:val="32"/>
          <w:lang w:val="en-US" w:eastAsia="zh-CN"/>
        </w:rPr>
        <w:t>超过60天</w:t>
      </w:r>
      <w:r>
        <w:rPr>
          <w:rFonts w:hint="eastAsia" w:ascii="仿宋" w:hAnsi="仿宋" w:eastAsia="仿宋" w:cs="仿宋"/>
          <w:color w:val="000000"/>
          <w:sz w:val="32"/>
          <w:szCs w:val="32"/>
        </w:rPr>
        <w:t>货款的，除应及时付足货款外，应向乙方偿付欠款总额</w:t>
      </w:r>
      <w:r>
        <w:rPr>
          <w:rFonts w:hint="eastAsia" w:ascii="仿宋" w:hAnsi="仿宋" w:eastAsia="仿宋" w:cs="仿宋"/>
          <w:color w:val="000000"/>
          <w:sz w:val="32"/>
          <w:szCs w:val="32"/>
          <w:lang w:val="en-US" w:eastAsia="zh-CN"/>
        </w:rPr>
        <w:t>年利率2.65%</w:t>
      </w:r>
      <w:r>
        <w:rPr>
          <w:rFonts w:hint="eastAsia" w:ascii="仿宋" w:hAnsi="仿宋" w:eastAsia="仿宋" w:cs="仿宋"/>
          <w:color w:val="000000"/>
          <w:sz w:val="32"/>
          <w:szCs w:val="32"/>
        </w:rPr>
        <w:t>的违约金；逾期付款超过</w:t>
      </w:r>
      <w:r>
        <w:rPr>
          <w:rFonts w:hint="eastAsia" w:ascii="仿宋" w:hAnsi="仿宋" w:eastAsia="仿宋" w:cs="仿宋"/>
          <w:color w:val="000000"/>
          <w:sz w:val="32"/>
          <w:szCs w:val="32"/>
          <w:lang w:val="en-US" w:eastAsia="zh-CN"/>
        </w:rPr>
        <w:t>60</w:t>
      </w:r>
      <w:r>
        <w:rPr>
          <w:rFonts w:hint="eastAsia" w:ascii="仿宋" w:hAnsi="仿宋" w:eastAsia="仿宋" w:cs="仿宋"/>
          <w:color w:val="000000"/>
          <w:sz w:val="32"/>
          <w:szCs w:val="32"/>
        </w:rPr>
        <w:t>天的，乙方有权终止合同；</w:t>
      </w:r>
    </w:p>
    <w:p w14:paraId="1266DFE3">
      <w:pPr>
        <w:pStyle w:val="35"/>
        <w:keepNext w:val="0"/>
        <w:keepLines w:val="0"/>
        <w:pageBreakBefore w:val="0"/>
        <w:widowControl w:val="0"/>
        <w:kinsoku/>
        <w:wordWrap/>
        <w:overflowPunct/>
        <w:topLinePunct w:val="0"/>
        <w:bidi w:val="0"/>
        <w:snapToGrid/>
        <w:spacing w:line="44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（3）甲方偿付的违约金不足以弥补乙方损失的，还应按乙方损失尚未弥补的部分，支付赔偿金给乙方。</w:t>
      </w:r>
    </w:p>
    <w:p w14:paraId="12A3DDBF">
      <w:pPr>
        <w:pStyle w:val="35"/>
        <w:keepNext w:val="0"/>
        <w:keepLines w:val="0"/>
        <w:pageBreakBefore w:val="0"/>
        <w:widowControl w:val="0"/>
        <w:kinsoku/>
        <w:wordWrap/>
        <w:overflowPunct/>
        <w:topLinePunct w:val="0"/>
        <w:bidi w:val="0"/>
        <w:snapToGrid/>
        <w:spacing w:line="44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乙方违约责任</w:t>
      </w:r>
    </w:p>
    <w:p w14:paraId="21878E11">
      <w:pPr>
        <w:pStyle w:val="35"/>
        <w:keepNext w:val="0"/>
        <w:keepLines w:val="0"/>
        <w:pageBreakBefore w:val="0"/>
        <w:widowControl w:val="0"/>
        <w:kinsoku/>
        <w:wordWrap/>
        <w:overflowPunct/>
        <w:topLinePunct w:val="0"/>
        <w:bidi w:val="0"/>
        <w:snapToGrid/>
        <w:spacing w:line="44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（1）乙方交付的货物质量不符合合同规定的，乙方应向甲方支付合同总价的百分之</w:t>
      </w:r>
      <w:r>
        <w:rPr>
          <w:rFonts w:hint="eastAsia" w:ascii="仿宋" w:hAnsi="仿宋" w:eastAsia="仿宋" w:cs="仿宋"/>
          <w:color w:val="000000"/>
          <w:sz w:val="32"/>
          <w:szCs w:val="32"/>
          <w:lang w:val="en-US" w:eastAsia="zh-CN"/>
        </w:rPr>
        <w:t>十</w:t>
      </w:r>
      <w:r>
        <w:rPr>
          <w:rFonts w:hint="eastAsia" w:ascii="仿宋" w:hAnsi="仿宋" w:eastAsia="仿宋" w:cs="仿宋"/>
          <w:color w:val="000000"/>
          <w:sz w:val="32"/>
          <w:szCs w:val="32"/>
        </w:rPr>
        <w:t>的违约金，并须在合同规定的交货时间内更换合格的货物给甲方，否则，视作乙方不能交付货物而违约，按本条本款下述第“（2）”项规定由乙方偿付违约赔偿金给甲方。</w:t>
      </w:r>
    </w:p>
    <w:p w14:paraId="151A2CB5">
      <w:pPr>
        <w:pStyle w:val="35"/>
        <w:keepNext w:val="0"/>
        <w:keepLines w:val="0"/>
        <w:pageBreakBefore w:val="0"/>
        <w:widowControl w:val="0"/>
        <w:kinsoku/>
        <w:wordWrap/>
        <w:overflowPunct/>
        <w:topLinePunct w:val="0"/>
        <w:bidi w:val="0"/>
        <w:snapToGrid/>
        <w:spacing w:line="44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（2）乙方不能交付货物或逾期交付货物而违约的，除应及时交足货物外，应向甲方偿付逾期交货部分货款总额的万分之</w:t>
      </w:r>
      <w:r>
        <w:rPr>
          <w:rFonts w:hint="eastAsia" w:ascii="仿宋" w:hAnsi="仿宋" w:eastAsia="仿宋" w:cs="仿宋"/>
          <w:color w:val="000000"/>
          <w:sz w:val="32"/>
          <w:szCs w:val="32"/>
          <w:lang w:val="en-US" w:eastAsia="zh-CN"/>
        </w:rPr>
        <w:t>贰</w:t>
      </w:r>
      <w:r>
        <w:rPr>
          <w:rFonts w:hint="eastAsia" w:ascii="仿宋" w:hAnsi="仿宋" w:eastAsia="仿宋" w:cs="仿宋"/>
          <w:color w:val="000000"/>
          <w:sz w:val="32"/>
          <w:szCs w:val="32"/>
        </w:rPr>
        <w:t>/天的违约金；逾期交货超过</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天，甲方有权终止合同，乙方则应按合同总价的百分之</w:t>
      </w:r>
      <w:r>
        <w:rPr>
          <w:rFonts w:hint="eastAsia" w:ascii="仿宋" w:hAnsi="仿宋" w:eastAsia="仿宋" w:cs="仿宋"/>
          <w:color w:val="000000"/>
          <w:sz w:val="32"/>
          <w:szCs w:val="32"/>
          <w:lang w:val="en-US" w:eastAsia="zh-CN"/>
        </w:rPr>
        <w:t>十</w:t>
      </w:r>
      <w:r>
        <w:rPr>
          <w:rFonts w:hint="eastAsia" w:ascii="仿宋" w:hAnsi="仿宋" w:eastAsia="仿宋" w:cs="仿宋"/>
          <w:color w:val="000000"/>
          <w:sz w:val="32"/>
          <w:szCs w:val="32"/>
        </w:rPr>
        <w:t>的款额向甲方偿付赔偿金，并须全额退还甲方已经付给乙方的货款及其利息。</w:t>
      </w:r>
    </w:p>
    <w:p w14:paraId="41B770F4">
      <w:pPr>
        <w:pStyle w:val="35"/>
        <w:keepNext w:val="0"/>
        <w:keepLines w:val="0"/>
        <w:pageBreakBefore w:val="0"/>
        <w:widowControl w:val="0"/>
        <w:kinsoku/>
        <w:wordWrap/>
        <w:overflowPunct/>
        <w:topLinePunct w:val="0"/>
        <w:bidi w:val="0"/>
        <w:snapToGrid/>
        <w:spacing w:line="44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（3）乙方货物经甲方送交具有法定资格条件的质量技术监督机构检测后，如检测结果认定货物质量不符合本合同规定标准的，则视为乙方没有按时交货而违约，乙方须在</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天内无条件更换合格的货物，如逾期不能更换合格的货物，甲方有权终止本合同，乙方应另付合同总价的百分之</w:t>
      </w:r>
      <w:r>
        <w:rPr>
          <w:rFonts w:hint="eastAsia" w:ascii="仿宋" w:hAnsi="仿宋" w:eastAsia="仿宋" w:cs="仿宋"/>
          <w:color w:val="000000"/>
          <w:sz w:val="32"/>
          <w:szCs w:val="32"/>
          <w:lang w:val="en-US" w:eastAsia="zh-CN"/>
        </w:rPr>
        <w:t>十</w:t>
      </w:r>
      <w:r>
        <w:rPr>
          <w:rFonts w:hint="eastAsia" w:ascii="仿宋" w:hAnsi="仿宋" w:eastAsia="仿宋" w:cs="仿宋"/>
          <w:color w:val="000000"/>
          <w:sz w:val="32"/>
          <w:szCs w:val="32"/>
        </w:rPr>
        <w:t>的赔偿金给甲方。</w:t>
      </w:r>
    </w:p>
    <w:p w14:paraId="1B0B11C5">
      <w:pPr>
        <w:pStyle w:val="35"/>
        <w:keepNext w:val="0"/>
        <w:keepLines w:val="0"/>
        <w:pageBreakBefore w:val="0"/>
        <w:widowControl w:val="0"/>
        <w:kinsoku/>
        <w:wordWrap/>
        <w:overflowPunct/>
        <w:topLinePunct w:val="0"/>
        <w:bidi w:val="0"/>
        <w:snapToGrid/>
        <w:spacing w:line="44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ascii="仿宋" w:hAnsi="仿宋" w:eastAsia="仿宋" w:cs="仿宋"/>
          <w:color w:val="000000"/>
          <w:sz w:val="32"/>
          <w:szCs w:val="32"/>
          <w:lang w:val="en-US" w:eastAsia="zh-CN"/>
        </w:rPr>
        <w:t>十</w:t>
      </w:r>
      <w:r>
        <w:rPr>
          <w:rFonts w:hint="eastAsia" w:ascii="仿宋" w:hAnsi="仿宋" w:eastAsia="仿宋" w:cs="仿宋"/>
          <w:color w:val="000000"/>
          <w:sz w:val="32"/>
          <w:szCs w:val="32"/>
        </w:rPr>
        <w:t>向甲方支付违约金。</w:t>
      </w:r>
    </w:p>
    <w:p w14:paraId="3FC3B201">
      <w:pPr>
        <w:pStyle w:val="35"/>
        <w:keepNext w:val="0"/>
        <w:keepLines w:val="0"/>
        <w:pageBreakBefore w:val="0"/>
        <w:widowControl w:val="0"/>
        <w:kinsoku/>
        <w:wordWrap/>
        <w:overflowPunct/>
        <w:topLinePunct w:val="0"/>
        <w:bidi w:val="0"/>
        <w:snapToGrid/>
        <w:spacing w:line="44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（5）乙方偿付的违约金不足以弥补甲方损失的，还应按甲方损失尚未弥补的部分，支付赔偿金给甲方。</w:t>
      </w:r>
    </w:p>
    <w:p w14:paraId="102DC8F1">
      <w:pPr>
        <w:pStyle w:val="15"/>
        <w:numPr>
          <w:ilvl w:val="0"/>
          <w:numId w:val="4"/>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解决争议的方法：合同履行期间，若双方发生争议，可协商或由有关部门协调解决，协商或协调不成功的，双方均可向五通桥区人民法院提起诉讼依法维护其合法权益。</w:t>
      </w:r>
    </w:p>
    <w:p w14:paraId="341BBA68">
      <w:pPr>
        <w:rPr>
          <w:rFonts w:hint="eastAsia" w:ascii="黑体" w:hAnsi="黑体" w:eastAsia="黑体" w:cs="黑体"/>
          <w:lang w:eastAsia="zh-CN"/>
        </w:rPr>
      </w:pPr>
    </w:p>
    <w:p w14:paraId="56A884EA">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134" w:right="1134" w:bottom="1077" w:left="1361" w:header="680" w:footer="680"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2941E">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13AE3">
                          <w:pPr>
                            <w:pStyle w:val="11"/>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B13AE3">
                    <w:pPr>
                      <w:pStyle w:val="11"/>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6C2D4">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75A2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C75A2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71F18">
    <w:pPr>
      <w:pStyle w:val="12"/>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7FA6C">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CA197A4D"/>
    <w:multiLevelType w:val="singleLevel"/>
    <w:tmpl w:val="CA197A4D"/>
    <w:lvl w:ilvl="0" w:tentative="0">
      <w:start w:val="1"/>
      <w:numFmt w:val="decimal"/>
      <w:lvlText w:val="%1."/>
      <w:lvlJc w:val="left"/>
      <w:pPr>
        <w:tabs>
          <w:tab w:val="left" w:pos="312"/>
        </w:tabs>
      </w:pPr>
    </w:lvl>
  </w:abstractNum>
  <w:abstractNum w:abstractNumId="3">
    <w:nsid w:val="1D6A547E"/>
    <w:multiLevelType w:val="singleLevel"/>
    <w:tmpl w:val="1D6A547E"/>
    <w:lvl w:ilvl="0" w:tentative="0">
      <w:start w:val="1"/>
      <w:numFmt w:val="decimal"/>
      <w:suff w:val="nothing"/>
      <w:lvlText w:val="%1、"/>
      <w:lvlJc w:val="left"/>
      <w:pPr>
        <w:ind w:left="21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FE51BA"/>
    <w:rsid w:val="01724615"/>
    <w:rsid w:val="01AC44D5"/>
    <w:rsid w:val="01DA1F83"/>
    <w:rsid w:val="021D0151"/>
    <w:rsid w:val="02653FAC"/>
    <w:rsid w:val="038264FB"/>
    <w:rsid w:val="03E45948"/>
    <w:rsid w:val="03EB6F22"/>
    <w:rsid w:val="043F712A"/>
    <w:rsid w:val="047A7398"/>
    <w:rsid w:val="04976AF6"/>
    <w:rsid w:val="055E32F7"/>
    <w:rsid w:val="05813897"/>
    <w:rsid w:val="05B93485"/>
    <w:rsid w:val="05DD44EC"/>
    <w:rsid w:val="05FA4A68"/>
    <w:rsid w:val="06C83EF1"/>
    <w:rsid w:val="077B0190"/>
    <w:rsid w:val="07954271"/>
    <w:rsid w:val="07E32607"/>
    <w:rsid w:val="083F7233"/>
    <w:rsid w:val="08570094"/>
    <w:rsid w:val="0892424A"/>
    <w:rsid w:val="08A100E8"/>
    <w:rsid w:val="08D706EB"/>
    <w:rsid w:val="09281C73"/>
    <w:rsid w:val="092B0852"/>
    <w:rsid w:val="099C0C65"/>
    <w:rsid w:val="09CF2980"/>
    <w:rsid w:val="0A5766D2"/>
    <w:rsid w:val="0A9F4195"/>
    <w:rsid w:val="0B1A381C"/>
    <w:rsid w:val="0B481B96"/>
    <w:rsid w:val="0B5B6EA7"/>
    <w:rsid w:val="0B9B184D"/>
    <w:rsid w:val="0BBF2600"/>
    <w:rsid w:val="0C144801"/>
    <w:rsid w:val="0C3E61B9"/>
    <w:rsid w:val="0DA12370"/>
    <w:rsid w:val="0DBF0EC4"/>
    <w:rsid w:val="0DE40DBE"/>
    <w:rsid w:val="0E672DB3"/>
    <w:rsid w:val="0E904937"/>
    <w:rsid w:val="0E9E1831"/>
    <w:rsid w:val="0EAB0093"/>
    <w:rsid w:val="0F225786"/>
    <w:rsid w:val="0FA83AB7"/>
    <w:rsid w:val="0FCE2C6B"/>
    <w:rsid w:val="107F49DA"/>
    <w:rsid w:val="11103FB2"/>
    <w:rsid w:val="11106DD4"/>
    <w:rsid w:val="113065C7"/>
    <w:rsid w:val="11551C0D"/>
    <w:rsid w:val="11630C29"/>
    <w:rsid w:val="12374305"/>
    <w:rsid w:val="12AB3D92"/>
    <w:rsid w:val="12EC5C30"/>
    <w:rsid w:val="13061940"/>
    <w:rsid w:val="132D67B3"/>
    <w:rsid w:val="13320F8E"/>
    <w:rsid w:val="13C133CE"/>
    <w:rsid w:val="13E72023"/>
    <w:rsid w:val="159705C2"/>
    <w:rsid w:val="182F44F3"/>
    <w:rsid w:val="184E41FF"/>
    <w:rsid w:val="1865790E"/>
    <w:rsid w:val="189E6B7E"/>
    <w:rsid w:val="18E41C4F"/>
    <w:rsid w:val="18EA25BB"/>
    <w:rsid w:val="193B3817"/>
    <w:rsid w:val="19497A6B"/>
    <w:rsid w:val="19742C91"/>
    <w:rsid w:val="1998123A"/>
    <w:rsid w:val="19A01EF3"/>
    <w:rsid w:val="19DF1744"/>
    <w:rsid w:val="1A8B6B5A"/>
    <w:rsid w:val="1AF5353D"/>
    <w:rsid w:val="1B493578"/>
    <w:rsid w:val="1B5723EF"/>
    <w:rsid w:val="1B93321C"/>
    <w:rsid w:val="1BAD400C"/>
    <w:rsid w:val="1C380FAC"/>
    <w:rsid w:val="1C3E0A05"/>
    <w:rsid w:val="1DE81A96"/>
    <w:rsid w:val="1E4521C9"/>
    <w:rsid w:val="1EC85776"/>
    <w:rsid w:val="1F0B1E38"/>
    <w:rsid w:val="1F176598"/>
    <w:rsid w:val="1F782175"/>
    <w:rsid w:val="1FFB4E00"/>
    <w:rsid w:val="200C1DCC"/>
    <w:rsid w:val="2024443A"/>
    <w:rsid w:val="20326748"/>
    <w:rsid w:val="20B318F1"/>
    <w:rsid w:val="20B62B46"/>
    <w:rsid w:val="20B86F62"/>
    <w:rsid w:val="20DA469D"/>
    <w:rsid w:val="20DA79F5"/>
    <w:rsid w:val="20E93F65"/>
    <w:rsid w:val="21141E9E"/>
    <w:rsid w:val="211F1ED0"/>
    <w:rsid w:val="219C0935"/>
    <w:rsid w:val="219C0C5F"/>
    <w:rsid w:val="223E3923"/>
    <w:rsid w:val="22CD72A0"/>
    <w:rsid w:val="22DC6C27"/>
    <w:rsid w:val="230709BE"/>
    <w:rsid w:val="232F685D"/>
    <w:rsid w:val="2333299E"/>
    <w:rsid w:val="23B92E0F"/>
    <w:rsid w:val="245C589E"/>
    <w:rsid w:val="24640781"/>
    <w:rsid w:val="24972E1D"/>
    <w:rsid w:val="252A1881"/>
    <w:rsid w:val="2575459C"/>
    <w:rsid w:val="258F1C50"/>
    <w:rsid w:val="260C2C13"/>
    <w:rsid w:val="26DE5391"/>
    <w:rsid w:val="26F92D9C"/>
    <w:rsid w:val="27727EF2"/>
    <w:rsid w:val="27E167C8"/>
    <w:rsid w:val="27E8188C"/>
    <w:rsid w:val="27FC6D6D"/>
    <w:rsid w:val="280F7F64"/>
    <w:rsid w:val="286E79EF"/>
    <w:rsid w:val="290342EC"/>
    <w:rsid w:val="295D2E54"/>
    <w:rsid w:val="29E733A5"/>
    <w:rsid w:val="29EC6ACA"/>
    <w:rsid w:val="2A564875"/>
    <w:rsid w:val="2A571F3F"/>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DAD7C94"/>
    <w:rsid w:val="2E0D6E49"/>
    <w:rsid w:val="2E3D6C9E"/>
    <w:rsid w:val="2E681D4B"/>
    <w:rsid w:val="2E763F41"/>
    <w:rsid w:val="2ED755ED"/>
    <w:rsid w:val="2EFF3B7B"/>
    <w:rsid w:val="2F2D5CF3"/>
    <w:rsid w:val="2FFD053A"/>
    <w:rsid w:val="305074F8"/>
    <w:rsid w:val="30567424"/>
    <w:rsid w:val="30A47F0F"/>
    <w:rsid w:val="31AE2E30"/>
    <w:rsid w:val="31F938DC"/>
    <w:rsid w:val="32145B6C"/>
    <w:rsid w:val="32482F63"/>
    <w:rsid w:val="32887A79"/>
    <w:rsid w:val="3367096B"/>
    <w:rsid w:val="34015BA1"/>
    <w:rsid w:val="34104944"/>
    <w:rsid w:val="34607C42"/>
    <w:rsid w:val="34AD3121"/>
    <w:rsid w:val="34D128EE"/>
    <w:rsid w:val="35850C85"/>
    <w:rsid w:val="358537EA"/>
    <w:rsid w:val="36206E51"/>
    <w:rsid w:val="36284F4F"/>
    <w:rsid w:val="3645059F"/>
    <w:rsid w:val="36FA0C0E"/>
    <w:rsid w:val="371446FA"/>
    <w:rsid w:val="37564C34"/>
    <w:rsid w:val="37AF0C3F"/>
    <w:rsid w:val="381338B3"/>
    <w:rsid w:val="387820A1"/>
    <w:rsid w:val="391D2725"/>
    <w:rsid w:val="39241426"/>
    <w:rsid w:val="3A0A5821"/>
    <w:rsid w:val="3A7C32FC"/>
    <w:rsid w:val="3ADC539A"/>
    <w:rsid w:val="3AE30FAC"/>
    <w:rsid w:val="3B3A67B9"/>
    <w:rsid w:val="3B572D45"/>
    <w:rsid w:val="3B65061B"/>
    <w:rsid w:val="3B6B3A9C"/>
    <w:rsid w:val="3B7048EA"/>
    <w:rsid w:val="3BB47094"/>
    <w:rsid w:val="3BD82555"/>
    <w:rsid w:val="3C396CD8"/>
    <w:rsid w:val="3C8C24E7"/>
    <w:rsid w:val="3D912EF9"/>
    <w:rsid w:val="3DA25E25"/>
    <w:rsid w:val="3E103198"/>
    <w:rsid w:val="3E5C675F"/>
    <w:rsid w:val="3EBE1131"/>
    <w:rsid w:val="3F541632"/>
    <w:rsid w:val="4003626C"/>
    <w:rsid w:val="403C5A07"/>
    <w:rsid w:val="410C5355"/>
    <w:rsid w:val="416F0B2D"/>
    <w:rsid w:val="41817FB6"/>
    <w:rsid w:val="41894D39"/>
    <w:rsid w:val="41A91634"/>
    <w:rsid w:val="41C408EB"/>
    <w:rsid w:val="41E85D9F"/>
    <w:rsid w:val="421364F5"/>
    <w:rsid w:val="426D0D62"/>
    <w:rsid w:val="42893EDE"/>
    <w:rsid w:val="42C02DF3"/>
    <w:rsid w:val="42CD5B5D"/>
    <w:rsid w:val="42FC7797"/>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8309CE"/>
    <w:rsid w:val="47E92A18"/>
    <w:rsid w:val="484F3834"/>
    <w:rsid w:val="486A1208"/>
    <w:rsid w:val="487E3CCE"/>
    <w:rsid w:val="491D7010"/>
    <w:rsid w:val="4998010E"/>
    <w:rsid w:val="49F61C6A"/>
    <w:rsid w:val="4A2F0F8F"/>
    <w:rsid w:val="4A92068D"/>
    <w:rsid w:val="4B21070C"/>
    <w:rsid w:val="4C6D260E"/>
    <w:rsid w:val="4CA65850"/>
    <w:rsid w:val="4D36558C"/>
    <w:rsid w:val="4D4867BB"/>
    <w:rsid w:val="4D7854C0"/>
    <w:rsid w:val="4E1C022A"/>
    <w:rsid w:val="4E1E1D89"/>
    <w:rsid w:val="4FA771C2"/>
    <w:rsid w:val="4FDC7DDA"/>
    <w:rsid w:val="5003209D"/>
    <w:rsid w:val="508E2B4E"/>
    <w:rsid w:val="51695F30"/>
    <w:rsid w:val="524A480D"/>
    <w:rsid w:val="5263348D"/>
    <w:rsid w:val="527E7420"/>
    <w:rsid w:val="5292301A"/>
    <w:rsid w:val="52C10CD7"/>
    <w:rsid w:val="52F64CB8"/>
    <w:rsid w:val="52FB39A7"/>
    <w:rsid w:val="531641E9"/>
    <w:rsid w:val="5446604D"/>
    <w:rsid w:val="547E1AE0"/>
    <w:rsid w:val="54F554AC"/>
    <w:rsid w:val="551A0D5D"/>
    <w:rsid w:val="55EE4C06"/>
    <w:rsid w:val="561A148B"/>
    <w:rsid w:val="565B213D"/>
    <w:rsid w:val="56773B8D"/>
    <w:rsid w:val="56D444B4"/>
    <w:rsid w:val="572D0183"/>
    <w:rsid w:val="57567F4A"/>
    <w:rsid w:val="57667B7B"/>
    <w:rsid w:val="578D66D2"/>
    <w:rsid w:val="580A2903"/>
    <w:rsid w:val="58367041"/>
    <w:rsid w:val="583A1E71"/>
    <w:rsid w:val="584A40DF"/>
    <w:rsid w:val="589814E3"/>
    <w:rsid w:val="58B969E6"/>
    <w:rsid w:val="58C42CE6"/>
    <w:rsid w:val="59035A6B"/>
    <w:rsid w:val="592C7507"/>
    <w:rsid w:val="59A37B89"/>
    <w:rsid w:val="59D35B7E"/>
    <w:rsid w:val="5AC02939"/>
    <w:rsid w:val="5AD77D82"/>
    <w:rsid w:val="5B134CBA"/>
    <w:rsid w:val="5B214FE3"/>
    <w:rsid w:val="5C557763"/>
    <w:rsid w:val="5CC55E89"/>
    <w:rsid w:val="5CC74DB0"/>
    <w:rsid w:val="5DA41796"/>
    <w:rsid w:val="5DC167D7"/>
    <w:rsid w:val="5F0E08C6"/>
    <w:rsid w:val="5F4C749B"/>
    <w:rsid w:val="5F5075CA"/>
    <w:rsid w:val="5F7007A2"/>
    <w:rsid w:val="5F85487D"/>
    <w:rsid w:val="5FB650D9"/>
    <w:rsid w:val="6096215E"/>
    <w:rsid w:val="620D46B6"/>
    <w:rsid w:val="626070DF"/>
    <w:rsid w:val="62B86D17"/>
    <w:rsid w:val="62C824CA"/>
    <w:rsid w:val="635F68CB"/>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CF4DB4"/>
    <w:rsid w:val="69F16575"/>
    <w:rsid w:val="69FE6269"/>
    <w:rsid w:val="6B110ED0"/>
    <w:rsid w:val="6B3D74AC"/>
    <w:rsid w:val="6BF5199F"/>
    <w:rsid w:val="6C81461E"/>
    <w:rsid w:val="6CE610BF"/>
    <w:rsid w:val="6CED312F"/>
    <w:rsid w:val="6CF2654E"/>
    <w:rsid w:val="6D1916FD"/>
    <w:rsid w:val="6D226C43"/>
    <w:rsid w:val="6D535020"/>
    <w:rsid w:val="6DCF5925"/>
    <w:rsid w:val="6E383ABA"/>
    <w:rsid w:val="6E8B493F"/>
    <w:rsid w:val="6EA3545A"/>
    <w:rsid w:val="6F5C5FF5"/>
    <w:rsid w:val="6F9F7F7D"/>
    <w:rsid w:val="719A4F83"/>
    <w:rsid w:val="71DE50A5"/>
    <w:rsid w:val="722B548E"/>
    <w:rsid w:val="722E4AEA"/>
    <w:rsid w:val="73683978"/>
    <w:rsid w:val="73F43F5E"/>
    <w:rsid w:val="741C4C2C"/>
    <w:rsid w:val="7438150C"/>
    <w:rsid w:val="746F037C"/>
    <w:rsid w:val="74802750"/>
    <w:rsid w:val="74D379E1"/>
    <w:rsid w:val="74F82EAA"/>
    <w:rsid w:val="75457DB7"/>
    <w:rsid w:val="7563067A"/>
    <w:rsid w:val="75E55D62"/>
    <w:rsid w:val="76466533"/>
    <w:rsid w:val="7750356B"/>
    <w:rsid w:val="77F97E1C"/>
    <w:rsid w:val="785111E8"/>
    <w:rsid w:val="78E831F4"/>
    <w:rsid w:val="79AB0D03"/>
    <w:rsid w:val="79AC141B"/>
    <w:rsid w:val="79B51E35"/>
    <w:rsid w:val="79EA27D4"/>
    <w:rsid w:val="7A6F34F2"/>
    <w:rsid w:val="7AE23540"/>
    <w:rsid w:val="7B6511A2"/>
    <w:rsid w:val="7BA50A03"/>
    <w:rsid w:val="7C29457B"/>
    <w:rsid w:val="7C631E7C"/>
    <w:rsid w:val="7CE9423F"/>
    <w:rsid w:val="7D9A1A1C"/>
    <w:rsid w:val="7E163DF2"/>
    <w:rsid w:val="7E1D587C"/>
    <w:rsid w:val="7E1E62DD"/>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Body Text Indent"/>
    <w:basedOn w:val="1"/>
    <w:next w:val="7"/>
    <w:qFormat/>
    <w:uiPriority w:val="0"/>
    <w:pPr>
      <w:spacing w:after="120" w:afterLines="0"/>
      <w:ind w:left="420" w:leftChars="200"/>
    </w:pPr>
  </w:style>
  <w:style w:type="paragraph" w:styleId="7">
    <w:name w:val="envelope return"/>
    <w:basedOn w:val="1"/>
    <w:qFormat/>
    <w:uiPriority w:val="0"/>
    <w:pPr>
      <w:snapToGrid w:val="0"/>
    </w:pPr>
    <w:rPr>
      <w:rFonts w:ascii="Arial" w:hAnsi="Arial"/>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tabs>
        <w:tab w:val="right" w:leader="dot" w:pos="9628"/>
      </w:tabs>
      <w:spacing w:line="360" w:lineRule="auto"/>
      <w:jc w:val="center"/>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w:basedOn w:val="5"/>
    <w:qFormat/>
    <w:uiPriority w:val="0"/>
    <w:pPr>
      <w:ind w:firstLine="420" w:firstLineChars="100"/>
    </w:pPr>
    <w:rPr>
      <w:rFonts w:ascii="Times New Roman" w:hAnsi="Times New Roman" w:eastAsia="宋体" w:cs="Times New Roma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qFormat/>
    <w:uiPriority w:val="0"/>
    <w:rPr>
      <w:color w:val="0000FF"/>
      <w:u w:val="single"/>
    </w:rPr>
  </w:style>
  <w:style w:type="paragraph" w:styleId="21">
    <w:name w:val="Quote"/>
    <w:basedOn w:val="1"/>
    <w:next w:val="1"/>
    <w:qFormat/>
    <w:uiPriority w:val="0"/>
    <w:rPr>
      <w:i/>
      <w:iCs/>
      <w:color w:val="000000"/>
      <w:szCs w:val="22"/>
    </w:rPr>
  </w:style>
  <w:style w:type="character" w:customStyle="1" w:styleId="22">
    <w:name w:val="标题 1 Char"/>
    <w:link w:val="2"/>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8"/>
    <w:qFormat/>
    <w:uiPriority w:val="0"/>
    <w:rPr>
      <w:rFonts w:ascii="Calibri" w:hAnsi="Calibri" w:cs="Calibri"/>
      <w:color w:val="000000"/>
      <w:sz w:val="18"/>
      <w:szCs w:val="18"/>
      <w:u w:val="none"/>
    </w:rPr>
  </w:style>
  <w:style w:type="character" w:customStyle="1" w:styleId="25">
    <w:name w:val="font01"/>
    <w:basedOn w:val="18"/>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Table Text"/>
    <w:basedOn w:val="1"/>
    <w:semiHidden/>
    <w:qFormat/>
    <w:uiPriority w:val="0"/>
    <w:rPr>
      <w:rFonts w:ascii="Arial" w:hAnsi="Arial" w:eastAsia="Arial" w:cs="Arial"/>
      <w:sz w:val="21"/>
      <w:szCs w:val="21"/>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font31"/>
    <w:basedOn w:val="18"/>
    <w:qFormat/>
    <w:uiPriority w:val="0"/>
    <w:rPr>
      <w:rFonts w:hint="eastAsia" w:ascii="宋体" w:hAnsi="宋体" w:eastAsia="宋体" w:cs="宋体"/>
      <w:color w:val="FF0000"/>
      <w:sz w:val="23"/>
      <w:szCs w:val="23"/>
      <w:u w:val="none"/>
    </w:rPr>
  </w:style>
  <w:style w:type="character" w:customStyle="1" w:styleId="34">
    <w:name w:val="font61"/>
    <w:basedOn w:val="18"/>
    <w:qFormat/>
    <w:uiPriority w:val="0"/>
    <w:rPr>
      <w:rFonts w:hint="eastAsia" w:ascii="宋体" w:hAnsi="宋体" w:eastAsia="宋体" w:cs="宋体"/>
      <w:color w:val="000000"/>
      <w:sz w:val="23"/>
      <w:szCs w:val="23"/>
      <w:u w:val="none"/>
    </w:rPr>
  </w:style>
  <w:style w:type="paragraph" w:customStyle="1" w:styleId="35">
    <w:name w:val="样式 首行缩进:  2 字符"/>
    <w:basedOn w:val="1"/>
    <w:autoRedefine/>
    <w:qFormat/>
    <w:uiPriority w:val="99"/>
    <w:pPr>
      <w:spacing w:line="400" w:lineRule="exact"/>
      <w:ind w:firstLine="200" w:firstLineChars="200"/>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5.jpeg"/><Relationship Id="rId21" Type="http://schemas.openxmlformats.org/officeDocument/2006/relationships/image" Target="media/image14.jpe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28</Pages>
  <Words>6310</Words>
  <Characters>6645</Characters>
  <Lines>0</Lines>
  <Paragraphs>0</Paragraphs>
  <TotalTime>1129</TotalTime>
  <ScaleCrop>false</ScaleCrop>
  <LinksUpToDate>false</LinksUpToDate>
  <CharactersWithSpaces>6974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D</cp:lastModifiedBy>
  <cp:lastPrinted>2019-09-23T08:20:00Z</cp:lastPrinted>
  <dcterms:modified xsi:type="dcterms:W3CDTF">2025-05-15T01:13:28Z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74DD724FA7034024AFBD1D2BDC35B259_13</vt:lpwstr>
  </property>
  <property fmtid="{D5CDD505-2E9C-101B-9397-08002B2CF9AE}" pid="4" name="KSOTemplateDocerSaveRecord">
    <vt:lpwstr>eyJoZGlkIjoiYjJmZmFmMGFkNTkxMTc3Y2Q4ODdmNWVhNTFmYjU5MjciLCJ1c2VySWQiOiIxMjE4MTQ0Nzk4In0=</vt:lpwstr>
  </property>
</Properties>
</file>