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采购项目名称：竹根院区房屋安全鉴定服务采购</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 xml:space="preserve">YNCG2025008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w:t>
      </w:r>
      <w:r>
        <w:rPr>
          <w:rFonts w:hint="eastAsia" w:ascii="仿宋" w:hAnsi="仿宋" w:eastAsia="仿宋" w:cs="仿宋"/>
          <w:color w:val="auto"/>
          <w:kern w:val="0"/>
          <w:sz w:val="32"/>
          <w:szCs w:val="32"/>
          <w:lang w:val="en-US" w:eastAsia="zh-CN"/>
        </w:rPr>
        <w:t>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lang w:eastAsia="zh-CN"/>
        </w:rPr>
        <w:t>、供应商参加本次采购活动</w:t>
      </w:r>
      <w:r>
        <w:rPr>
          <w:rFonts w:hint="eastAsia" w:ascii="仿宋" w:hAnsi="仿宋" w:eastAsia="仿宋" w:cs="仿宋"/>
          <w:color w:val="auto"/>
          <w:kern w:val="0"/>
          <w:sz w:val="32"/>
          <w:szCs w:val="32"/>
          <w:lang w:val="en-US" w:eastAsia="zh-CN"/>
        </w:rPr>
        <w:t>需要</w:t>
      </w:r>
      <w:r>
        <w:rPr>
          <w:rFonts w:hint="eastAsia" w:ascii="仿宋" w:hAnsi="仿宋" w:eastAsia="仿宋" w:cs="仿宋"/>
          <w:color w:val="auto"/>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4.请满足上述资质要求的供应商于2024年5月20日17:00之前将资料送至乐山市五通桥区人民医院采购办（行政楼三楼楼梯处），在截至时间以后送到的响应文件将被拒绝并退还给供应商。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一次报价），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7"/>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：徐老师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0833-3211269</w:t>
      </w:r>
    </w:p>
    <w:p w14:paraId="765689F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联系人：景老师(项目办)</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联系电话：0833-3200028</w:t>
      </w:r>
    </w:p>
    <w:p w14:paraId="43EED61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1"/>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8"/>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6"/>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18458"/>
      <w:bookmarkStart w:id="1" w:name="_Toc9490"/>
      <w:bookmarkStart w:id="2" w:name="_Toc5773"/>
      <w:bookmarkStart w:id="3" w:name="_Toc25737"/>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4003"/>
      <w:bookmarkStart w:id="5" w:name="_Toc12449"/>
      <w:bookmarkStart w:id="6" w:name="_Toc17549"/>
      <w:bookmarkStart w:id="7" w:name="_Toc439699516"/>
      <w:r>
        <w:rPr>
          <w:rFonts w:hint="eastAsia" w:ascii="黑体" w:hAnsi="黑体" w:eastAsia="黑体" w:cs="黑体"/>
          <w:color w:val="000000"/>
          <w:spacing w:val="2"/>
          <w:sz w:val="40"/>
          <w:szCs w:val="40"/>
        </w:rPr>
        <w:t>承诺函</w:t>
      </w:r>
    </w:p>
    <w:p w14:paraId="65A6C026">
      <w:pPr>
        <w:pStyle w:val="6"/>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30"/>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12426"/>
      <w:bookmarkStart w:id="9" w:name="_Toc16184"/>
      <w:bookmarkStart w:id="10" w:name="_Toc1287"/>
      <w:bookmarkStart w:id="11" w:name="_Toc199"/>
      <w:bookmarkStart w:id="12" w:name="_Toc24199"/>
      <w:bookmarkStart w:id="13" w:name="_Toc1800"/>
      <w:bookmarkStart w:id="14" w:name="_Toc439699522"/>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8"/>
        <w:spacing w:line="240" w:lineRule="auto"/>
        <w:ind w:firstLine="0"/>
        <w:rPr>
          <w:rFonts w:hint="eastAsia" w:ascii="仿宋" w:hAnsi="仿宋" w:eastAsia="仿宋" w:cs="仿宋"/>
          <w:color w:val="auto"/>
          <w:sz w:val="32"/>
          <w:szCs w:val="32"/>
        </w:rPr>
      </w:pPr>
    </w:p>
    <w:p w14:paraId="6DB0E3BA">
      <w:pPr>
        <w:pStyle w:val="28"/>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6"/>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809"/>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2"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6"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2"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6" w:type="pct"/>
            <w:noWrap w:val="0"/>
            <w:vAlign w:val="center"/>
          </w:tcPr>
          <w:p w14:paraId="2077600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2"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6"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2"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6"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2" w:type="pct"/>
            <w:noWrap w:val="0"/>
            <w:vAlign w:val="center"/>
          </w:tcPr>
          <w:p w14:paraId="637F240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6" w:type="pct"/>
            <w:shd w:val="clear" w:color="auto" w:fill="auto"/>
            <w:noWrap w:val="0"/>
            <w:vAlign w:val="center"/>
          </w:tcPr>
          <w:p w14:paraId="24FFDEED">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pct"/>
            <w:noWrap w:val="0"/>
            <w:vAlign w:val="center"/>
          </w:tcPr>
          <w:p w14:paraId="2111DE3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256" w:type="pct"/>
            <w:noWrap w:val="0"/>
            <w:vAlign w:val="center"/>
          </w:tcPr>
          <w:p w14:paraId="1868FD0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投标供应商</w:t>
            </w:r>
            <w:r>
              <w:rPr>
                <w:rFonts w:hint="eastAsia" w:ascii="仿宋" w:hAnsi="仿宋" w:eastAsia="仿宋" w:cs="仿宋"/>
                <w:color w:val="000000"/>
                <w:spacing w:val="2"/>
                <w:sz w:val="32"/>
                <w:szCs w:val="32"/>
                <w:lang w:val="en-US" w:eastAsia="zh-CN"/>
              </w:rPr>
              <w:t>提供具有省级及以上质量技术监督部门颁发有效期内的计量认证（CMA认证）证书。</w:t>
            </w:r>
          </w:p>
        </w:tc>
        <w:tc>
          <w:tcPr>
            <w:tcW w:w="511" w:type="pct"/>
            <w:noWrap w:val="0"/>
            <w:vAlign w:val="center"/>
          </w:tcPr>
          <w:p w14:paraId="72980604">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6264DAF9">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2" w:type="pct"/>
            <w:noWrap w:val="0"/>
            <w:vAlign w:val="center"/>
          </w:tcPr>
          <w:p w14:paraId="2E8149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256" w:type="pct"/>
            <w:noWrap w:val="0"/>
            <w:vAlign w:val="center"/>
          </w:tcPr>
          <w:p w14:paraId="4BEDD5F8">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F4F69D6">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56F03F65">
            <w:pPr>
              <w:snapToGrid w:val="0"/>
              <w:spacing w:line="240" w:lineRule="auto"/>
              <w:contextualSpacing/>
              <w:rPr>
                <w:rFonts w:hint="eastAsia" w:ascii="仿宋" w:hAnsi="仿宋" w:eastAsia="仿宋" w:cs="仿宋"/>
                <w:color w:val="000000"/>
                <w:spacing w:val="2"/>
                <w:sz w:val="32"/>
                <w:szCs w:val="32"/>
                <w:lang w:eastAsia="zh-CN"/>
              </w:rPr>
            </w:pP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2" w:type="pct"/>
            <w:noWrap w:val="0"/>
            <w:vAlign w:val="center"/>
          </w:tcPr>
          <w:p w14:paraId="6347D034">
            <w:pPr>
              <w:snapToGrid w:val="0"/>
              <w:spacing w:line="240" w:lineRule="auto"/>
              <w:contextualSpacing/>
              <w:rPr>
                <w:rFonts w:hint="eastAsia" w:ascii="仿宋" w:hAnsi="仿宋" w:eastAsia="仿宋" w:cs="仿宋"/>
                <w:color w:val="000000"/>
                <w:spacing w:val="2"/>
                <w:sz w:val="32"/>
                <w:szCs w:val="32"/>
                <w:lang w:eastAsia="zh-CN"/>
              </w:rPr>
            </w:pPr>
          </w:p>
        </w:tc>
        <w:tc>
          <w:tcPr>
            <w:tcW w:w="3256" w:type="pct"/>
            <w:noWrap w:val="0"/>
            <w:vAlign w:val="center"/>
          </w:tcPr>
          <w:p w14:paraId="6AC71881">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81B9554">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0A6B7EED">
            <w:pPr>
              <w:snapToGrid w:val="0"/>
              <w:spacing w:line="240" w:lineRule="auto"/>
              <w:contextualSpacing/>
              <w:rPr>
                <w:rFonts w:hint="eastAsia" w:ascii="仿宋" w:hAnsi="仿宋" w:eastAsia="仿宋" w:cs="仿宋"/>
                <w:color w:val="000000"/>
                <w:spacing w:val="2"/>
                <w:sz w:val="32"/>
                <w:szCs w:val="32"/>
                <w:lang w:eastAsia="zh-CN"/>
              </w:rPr>
            </w:pP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2" w:type="pct"/>
            <w:noWrap w:val="0"/>
            <w:vAlign w:val="center"/>
          </w:tcPr>
          <w:p w14:paraId="6C97E152">
            <w:pPr>
              <w:snapToGrid w:val="0"/>
              <w:spacing w:line="240" w:lineRule="auto"/>
              <w:contextualSpacing/>
              <w:rPr>
                <w:rFonts w:hint="default" w:ascii="仿宋" w:hAnsi="仿宋" w:eastAsia="仿宋" w:cs="仿宋"/>
                <w:color w:val="000000"/>
                <w:spacing w:val="2"/>
                <w:sz w:val="32"/>
                <w:szCs w:val="32"/>
                <w:lang w:val="en-US" w:eastAsia="zh-CN"/>
              </w:rPr>
            </w:pPr>
          </w:p>
        </w:tc>
        <w:tc>
          <w:tcPr>
            <w:tcW w:w="3256" w:type="pct"/>
            <w:noWrap w:val="0"/>
            <w:vAlign w:val="center"/>
          </w:tcPr>
          <w:p w14:paraId="3CC69F2B">
            <w:pPr>
              <w:snapToGrid w:val="0"/>
              <w:spacing w:line="240" w:lineRule="auto"/>
              <w:contextualSpacing/>
              <w:rPr>
                <w:rFonts w:hint="default" w:ascii="仿宋" w:hAnsi="仿宋" w:eastAsia="仿宋" w:cs="仿宋"/>
                <w:color w:val="000000"/>
                <w:spacing w:val="2"/>
                <w:sz w:val="32"/>
                <w:szCs w:val="32"/>
                <w:lang w:val="en-US" w:eastAsia="zh-CN"/>
              </w:rPr>
            </w:pPr>
          </w:p>
        </w:tc>
        <w:tc>
          <w:tcPr>
            <w:tcW w:w="511" w:type="pct"/>
            <w:noWrap w:val="0"/>
            <w:vAlign w:val="center"/>
          </w:tcPr>
          <w:p w14:paraId="70DAD64F">
            <w:pPr>
              <w:snapToGrid w:val="0"/>
              <w:spacing w:line="240" w:lineRule="auto"/>
              <w:contextualSpacing/>
              <w:rPr>
                <w:rFonts w:hint="default" w:ascii="仿宋" w:hAnsi="仿宋" w:eastAsia="仿宋" w:cs="仿宋"/>
                <w:color w:val="000000"/>
                <w:spacing w:val="2"/>
                <w:sz w:val="32"/>
                <w:szCs w:val="32"/>
                <w:lang w:val="en-US" w:eastAsia="zh-CN"/>
              </w:rPr>
            </w:pPr>
          </w:p>
        </w:tc>
        <w:tc>
          <w:tcPr>
            <w:tcW w:w="839" w:type="pct"/>
            <w:noWrap w:val="0"/>
            <w:vAlign w:val="center"/>
          </w:tcPr>
          <w:p w14:paraId="7BFAF613">
            <w:pPr>
              <w:snapToGrid w:val="0"/>
              <w:spacing w:line="240" w:lineRule="auto"/>
              <w:contextualSpacing/>
              <w:rPr>
                <w:rFonts w:hint="default" w:ascii="仿宋" w:hAnsi="仿宋" w:eastAsia="仿宋" w:cs="仿宋"/>
                <w:color w:val="000000"/>
                <w:spacing w:val="2"/>
                <w:sz w:val="32"/>
                <w:szCs w:val="32"/>
                <w:lang w:val="en-US" w:eastAsia="zh-CN"/>
              </w:rPr>
            </w:pPr>
          </w:p>
        </w:tc>
      </w:tr>
    </w:tbl>
    <w:p w14:paraId="0C144795">
      <w:pPr>
        <w:pStyle w:val="6"/>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35B7A944">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25643E42">
      <w:pPr>
        <w:pStyle w:val="6"/>
        <w:rPr>
          <w:rFonts w:hint="eastAsia" w:ascii="黑体" w:hAnsi="黑体" w:eastAsia="黑体" w:cs="黑体"/>
          <w:lang w:val="en-US" w:eastAsia="zh-CN"/>
        </w:rPr>
      </w:pPr>
    </w:p>
    <w:p w14:paraId="259E65DD">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14:paraId="7196947F">
      <w:pPr>
        <w:pStyle w:val="17"/>
        <w:numPr>
          <w:ilvl w:val="0"/>
          <w:numId w:val="0"/>
        </w:numPr>
        <w:spacing w:line="240" w:lineRule="auto"/>
        <w:ind w:leftChars="0" w:firstLine="640" w:firstLineChars="200"/>
        <w:rPr>
          <w:rFonts w:hint="eastAsia" w:ascii="仿宋" w:hAnsi="仿宋" w:eastAsia="仿宋" w:cs="仿宋"/>
          <w:sz w:val="32"/>
          <w:szCs w:val="32"/>
          <w:lang w:val="zh-TW"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TW" w:eastAsia="zh-CN"/>
        </w:rPr>
        <w:t>审核内容：对该建筑物进行</w:t>
      </w:r>
      <w:r>
        <w:rPr>
          <w:rFonts w:hint="eastAsia" w:ascii="仿宋" w:hAnsi="仿宋" w:eastAsia="仿宋" w:cs="仿宋"/>
          <w:sz w:val="32"/>
          <w:szCs w:val="32"/>
          <w:lang w:val="en-US" w:eastAsia="zh-CN"/>
        </w:rPr>
        <w:t>检测</w:t>
      </w:r>
      <w:r>
        <w:rPr>
          <w:rFonts w:hint="eastAsia" w:ascii="仿宋" w:hAnsi="仿宋" w:eastAsia="仿宋" w:cs="仿宋"/>
          <w:sz w:val="32"/>
          <w:szCs w:val="32"/>
          <w:lang w:val="zh-TW" w:eastAsia="zh-CN"/>
        </w:rPr>
        <w:t>，并出具检测鉴定报告。建筑物结构存在问题的，应对问题结构给出合理的修复建议。对于施工过程中存在的安全隐</w:t>
      </w:r>
      <w:bookmarkStart w:id="16" w:name="_GoBack"/>
      <w:bookmarkEnd w:id="16"/>
      <w:r>
        <w:rPr>
          <w:rFonts w:hint="eastAsia" w:ascii="仿宋" w:hAnsi="仿宋" w:eastAsia="仿宋" w:cs="仿宋"/>
          <w:sz w:val="32"/>
          <w:szCs w:val="32"/>
          <w:lang w:val="zh-TW" w:eastAsia="zh-CN"/>
        </w:rPr>
        <w:t>患，做出合理的建议。</w:t>
      </w:r>
    </w:p>
    <w:p w14:paraId="6CA7597F">
      <w:pPr>
        <w:pStyle w:val="17"/>
        <w:numPr>
          <w:ilvl w:val="0"/>
          <w:numId w:val="0"/>
        </w:numPr>
        <w:spacing w:line="240" w:lineRule="auto"/>
        <w:ind w:leftChars="0" w:firstLine="640" w:firstLineChars="200"/>
        <w:rPr>
          <w:rFonts w:hint="eastAsia" w:ascii="仿宋" w:hAnsi="仿宋" w:eastAsia="仿宋" w:cs="仿宋"/>
          <w:sz w:val="32"/>
          <w:szCs w:val="32"/>
          <w:lang w:val="zh-TW"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TW" w:eastAsia="zh-CN"/>
        </w:rPr>
        <w:t>最终成果：检测内容符合国家相应的质量标准要求，并满足施工要求。</w:t>
      </w:r>
    </w:p>
    <w:p w14:paraId="5FABA30C">
      <w:pPr>
        <w:pStyle w:val="17"/>
        <w:numPr>
          <w:ilvl w:val="0"/>
          <w:numId w:val="0"/>
        </w:numPr>
        <w:spacing w:line="240" w:lineRule="auto"/>
        <w:ind w:leftChars="0" w:firstLine="640" w:firstLineChars="200"/>
        <w:rPr>
          <w:rFonts w:hint="eastAsia" w:ascii="仿宋" w:hAnsi="仿宋" w:eastAsia="仿宋" w:cs="仿宋"/>
          <w:sz w:val="32"/>
          <w:szCs w:val="32"/>
          <w:lang w:val="zh-TW"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TW" w:eastAsia="zh-CN"/>
        </w:rPr>
        <w:t>检测点位确定：满足业主（项目管理方、监理方）的要求，并满足国家现行规范。</w:t>
      </w:r>
    </w:p>
    <w:p w14:paraId="00718512">
      <w:pPr>
        <w:pStyle w:val="17"/>
        <w:numPr>
          <w:ilvl w:val="0"/>
          <w:numId w:val="0"/>
        </w:numPr>
        <w:spacing w:line="240" w:lineRule="auto"/>
        <w:ind w:leftChars="0" w:firstLine="640" w:firstLineChars="200"/>
        <w:rPr>
          <w:rFonts w:hint="eastAsia" w:ascii="仿宋" w:hAnsi="仿宋" w:eastAsia="仿宋" w:cs="仿宋"/>
          <w:sz w:val="32"/>
          <w:szCs w:val="32"/>
          <w:lang w:val="zh-TW"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TW" w:eastAsia="zh-CN"/>
        </w:rPr>
        <w:t>质量标准：符合相关技术规范、标准、规程及国家、省、市、区(县)发布的政策文件。</w:t>
      </w:r>
    </w:p>
    <w:p w14:paraId="64A38AEA">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工作范围:</w:t>
      </w:r>
    </w:p>
    <w:p w14:paraId="73A7DAE7">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五通桥区人民医院7栋房屋共计14252.83m²，出具房屋安全鉴定报告书（包括不限于结构和抗震）。</w:t>
      </w:r>
    </w:p>
    <w:p w14:paraId="398C94C1">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p>
    <w:p w14:paraId="488A9143">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p>
    <w:p w14:paraId="1D616302">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1B15C630">
      <w:pPr>
        <w:pStyle w:val="17"/>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服务要求：审查结果文件经 “四川政务服务网（全国一体化在线政务服务平台）”程序性审查和技术性审查通过后，出具有专家签字、公司签章，具有法律效力的审查报告和审查合格书。</w:t>
      </w:r>
    </w:p>
    <w:p w14:paraId="4AA5A944">
      <w:pPr>
        <w:pStyle w:val="17"/>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履约要求：合同签订后20日内完成。</w:t>
      </w:r>
    </w:p>
    <w:p w14:paraId="2D236FFD">
      <w:pPr>
        <w:pStyle w:val="17"/>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付款方式：签订合同后支付40%预付款，甲方收到乙方出具的《鉴定报告》等全部技术成果资料与项目全额增值税专用发票后，20个工作日后支付60%尾款。</w:t>
      </w:r>
    </w:p>
    <w:p w14:paraId="3ADBABFB">
      <w:pPr>
        <w:pStyle w:val="17"/>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79603936">
      <w:pPr>
        <w:rPr>
          <w:rFonts w:hint="eastAsia" w:ascii="黑体" w:hAnsi="黑体" w:eastAsia="黑体" w:cs="黑体"/>
          <w:lang w:eastAsia="zh-CN"/>
        </w:rPr>
      </w:pPr>
    </w:p>
    <w:p w14:paraId="2FEB6A90">
      <w:pPr>
        <w:pStyle w:val="3"/>
        <w:rPr>
          <w:rFonts w:hint="eastAsia" w:ascii="黑体" w:hAnsi="黑体" w:eastAsia="黑体" w:cs="黑体"/>
          <w:lang w:eastAsia="zh-CN"/>
        </w:rPr>
      </w:pPr>
    </w:p>
    <w:p w14:paraId="5F8D228F">
      <w:pPr>
        <w:rPr>
          <w:rFonts w:hint="eastAsia" w:ascii="黑体" w:hAnsi="黑体" w:eastAsia="黑体" w:cs="黑体"/>
          <w:lang w:eastAsia="zh-CN"/>
        </w:rPr>
      </w:pPr>
      <w:r>
        <w:rPr>
          <w:rFonts w:hint="eastAsia" w:ascii="黑体" w:hAnsi="黑体" w:eastAsia="黑体" w:cs="黑体"/>
          <w:lang w:eastAsia="zh-CN"/>
        </w:rPr>
        <w:br w:type="page"/>
      </w:r>
    </w:p>
    <w:p w14:paraId="22B6EDCA">
      <w:pPr>
        <w:pStyle w:val="17"/>
        <w:rPr>
          <w:rFonts w:hint="eastAsia" w:ascii="黑体" w:hAnsi="黑体" w:eastAsia="黑体" w:cs="黑体"/>
          <w:lang w:eastAsia="zh-CN"/>
        </w:rPr>
      </w:pPr>
    </w:p>
    <w:p w14:paraId="2EA263C2">
      <w:pPr>
        <w:pStyle w:val="6"/>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8"/>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443F7346">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213A3261">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ACAE709">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4BF57A52">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1AC8DE8">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534214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59D3A36">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7A12ABEE">
        <w:tblPrEx>
          <w:tblCellMar>
            <w:top w:w="0" w:type="dxa"/>
            <w:left w:w="108" w:type="dxa"/>
            <w:bottom w:w="0" w:type="dxa"/>
            <w:right w:w="108" w:type="dxa"/>
          </w:tblCellMar>
        </w:tblPrEx>
        <w:trPr>
          <w:trHeight w:val="3222"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2616B017">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eastAsia="宋体" w:cs="宋体"/>
                <w:color w:val="auto"/>
                <w:kern w:val="0"/>
                <w:szCs w:val="21"/>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359A36B">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color w:val="auto"/>
                <w:szCs w:val="21"/>
                <w:lang w:val="zh-CN"/>
              </w:rPr>
              <w:t>报价</w:t>
            </w:r>
            <w:r>
              <w:rPr>
                <w:rFonts w:hint="eastAsia" w:ascii="宋体" w:hAnsi="宋体"/>
                <w:color w:val="auto"/>
                <w:szCs w:val="21"/>
                <w:lang w:val="en-US" w:eastAsia="zh-CN"/>
              </w:rPr>
              <w:t>30</w:t>
            </w:r>
            <w:r>
              <w:rPr>
                <w:rFonts w:hint="eastAsia" w:ascii="宋体" w:hAnsi="宋体"/>
                <w:color w:val="auto"/>
                <w:szCs w:val="21"/>
                <w:lang w:val="zh-CN"/>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CC1AEB5">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lang w:val="en-US" w:eastAsia="zh-CN"/>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009B3F4">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综合评分法中的价格分统一采用低价优先法计算，即满足招标文件要求且价格最低的有效投标报价为评标基准价，其价格分为满分</w:t>
            </w:r>
            <w:r>
              <w:rPr>
                <w:rFonts w:hint="eastAsia" w:ascii="宋体" w:hAnsi="宋体" w:eastAsia="宋体" w:cs="宋体"/>
                <w:color w:val="auto"/>
                <w:kern w:val="0"/>
                <w:szCs w:val="21"/>
                <w:lang w:val="en-US" w:eastAsia="zh-CN"/>
              </w:rPr>
              <w:t>30</w:t>
            </w:r>
            <w:r>
              <w:rPr>
                <w:rFonts w:hint="eastAsia" w:ascii="宋体" w:hAnsi="宋体" w:eastAsia="宋体" w:cs="宋体"/>
                <w:color w:val="auto"/>
                <w:kern w:val="0"/>
                <w:szCs w:val="21"/>
                <w:lang w:eastAsia="zh-CN"/>
              </w:rPr>
              <w:t>分。</w:t>
            </w:r>
          </w:p>
          <w:p w14:paraId="5B7F8CD5">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仿宋" w:hAnsi="仿宋" w:eastAsia="仿宋" w:cs="仿宋"/>
                <w:kern w:val="1"/>
                <w:sz w:val="32"/>
                <w:szCs w:val="32"/>
                <w:lang w:val="en-US" w:eastAsia="zh-CN"/>
              </w:rPr>
            </w:pPr>
            <w:r>
              <w:rPr>
                <w:rFonts w:hint="eastAsia" w:ascii="宋体" w:hAnsi="宋体" w:eastAsia="宋体" w:cs="宋体"/>
                <w:color w:val="auto"/>
                <w:kern w:val="0"/>
                <w:szCs w:val="21"/>
                <w:lang w:eastAsia="zh-CN"/>
              </w:rPr>
              <w:t>其他投标人的价格分统一按照下列公式计算：投标报价得分=(评标基准价／投标报价)*</w:t>
            </w:r>
            <w:r>
              <w:rPr>
                <w:rFonts w:hint="eastAsia" w:ascii="宋体" w:hAnsi="宋体" w:eastAsia="宋体" w:cs="宋体"/>
                <w:color w:val="auto"/>
                <w:kern w:val="0"/>
                <w:szCs w:val="21"/>
                <w:lang w:val="en-US" w:eastAsia="zh-CN"/>
              </w:rPr>
              <w:t>30</w:t>
            </w:r>
            <w:r>
              <w:rPr>
                <w:rFonts w:hint="eastAsia" w:ascii="宋体" w:hAnsi="宋体" w:eastAsia="宋体" w:cs="宋体"/>
                <w:color w:val="auto"/>
                <w:kern w:val="0"/>
                <w:szCs w:val="21"/>
                <w:lang w:eastAsia="zh-CN"/>
              </w:rPr>
              <w:t>。</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7B2337">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2193CADA">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03EB29F">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eastAsia="宋体" w:cs="宋体"/>
                <w:color w:val="auto"/>
                <w:kern w:val="0"/>
                <w:szCs w:val="21"/>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D2B5E86">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cs="宋体"/>
                <w:color w:val="auto"/>
                <w:szCs w:val="21"/>
              </w:rPr>
              <w:t>履约能力</w:t>
            </w:r>
            <w:r>
              <w:rPr>
                <w:rFonts w:hint="eastAsia" w:ascii="宋体" w:hAnsi="宋体"/>
                <w:color w:val="auto"/>
                <w:szCs w:val="21"/>
                <w:lang w:val="en-US" w:eastAsia="zh-CN"/>
              </w:rPr>
              <w:t>15</w:t>
            </w:r>
            <w:r>
              <w:rPr>
                <w:rFonts w:hint="eastAsia" w:ascii="宋体" w:hAnsi="宋体"/>
                <w:color w:val="auto"/>
                <w:szCs w:val="21"/>
                <w:lang w:val="zh-CN"/>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F9380D7">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lang w:val="en-US" w:eastAsia="zh-CN"/>
              </w:rPr>
            </w:pPr>
            <w:r>
              <w:rPr>
                <w:rFonts w:hint="eastAsia" w:ascii="宋体" w:hAnsi="宋体" w:cs="宋体"/>
                <w:color w:val="auto"/>
                <w:kern w:val="0"/>
                <w:szCs w:val="21"/>
                <w:lang w:val="en-US" w:eastAsia="zh-CN"/>
              </w:rPr>
              <w:t>15</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6E67E622">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宋体" w:hAnsi="宋体" w:eastAsia="宋体" w:cs="宋体"/>
                <w:color w:val="auto"/>
                <w:kern w:val="0"/>
                <w:szCs w:val="21"/>
                <w:lang w:eastAsia="zh-CN"/>
              </w:rPr>
            </w:pPr>
            <w:r>
              <w:rPr>
                <w:rFonts w:hint="eastAsia" w:ascii="宋体" w:hAnsi="宋体" w:cs="宋体"/>
                <w:color w:val="auto"/>
                <w:kern w:val="0"/>
                <w:szCs w:val="21"/>
              </w:rPr>
              <w:t>20</w:t>
            </w:r>
            <w:r>
              <w:rPr>
                <w:rFonts w:hint="eastAsia" w:ascii="宋体" w:hAnsi="宋体" w:cs="宋体"/>
                <w:color w:val="auto"/>
                <w:kern w:val="0"/>
                <w:szCs w:val="21"/>
                <w:lang w:val="en-US" w:eastAsia="zh-CN"/>
              </w:rPr>
              <w:t>22</w:t>
            </w:r>
            <w:r>
              <w:rPr>
                <w:rFonts w:hint="eastAsia" w:ascii="宋体" w:hAnsi="宋体" w:cs="宋体"/>
                <w:color w:val="auto"/>
                <w:kern w:val="0"/>
                <w:szCs w:val="21"/>
              </w:rPr>
              <w:t>年至今已完成1个</w:t>
            </w:r>
            <w:r>
              <w:rPr>
                <w:rFonts w:hint="eastAsia" w:ascii="宋体" w:hAnsi="宋体" w:cs="宋体"/>
                <w:color w:val="auto"/>
                <w:kern w:val="0"/>
                <w:szCs w:val="21"/>
                <w:lang w:eastAsia="zh-CN"/>
              </w:rPr>
              <w:t>类似</w:t>
            </w:r>
            <w:r>
              <w:rPr>
                <w:rFonts w:hint="eastAsia" w:ascii="宋体" w:hAnsi="宋体" w:cs="宋体"/>
                <w:color w:val="auto"/>
                <w:kern w:val="0"/>
                <w:szCs w:val="21"/>
              </w:rPr>
              <w:t>项目业绩得</w:t>
            </w:r>
            <w:r>
              <w:rPr>
                <w:rFonts w:hint="eastAsia" w:ascii="宋体" w:hAnsi="宋体" w:cs="宋体"/>
                <w:color w:val="auto"/>
                <w:kern w:val="0"/>
                <w:szCs w:val="21"/>
                <w:lang w:val="en-US" w:eastAsia="zh-CN"/>
              </w:rPr>
              <w:t>5</w:t>
            </w:r>
            <w:r>
              <w:rPr>
                <w:rFonts w:hint="eastAsia" w:ascii="宋体" w:hAnsi="宋体" w:cs="宋体"/>
                <w:color w:val="auto"/>
                <w:kern w:val="0"/>
                <w:szCs w:val="21"/>
              </w:rPr>
              <w:t>分；每增加1个</w:t>
            </w:r>
            <w:r>
              <w:rPr>
                <w:rFonts w:hint="eastAsia" w:ascii="宋体" w:hAnsi="宋体" w:cs="宋体"/>
                <w:color w:val="auto"/>
                <w:kern w:val="0"/>
                <w:szCs w:val="21"/>
                <w:lang w:eastAsia="zh-CN"/>
              </w:rPr>
              <w:t>类似</w:t>
            </w:r>
            <w:r>
              <w:rPr>
                <w:rFonts w:hint="eastAsia" w:ascii="宋体" w:hAnsi="宋体" w:cs="宋体"/>
                <w:color w:val="auto"/>
                <w:kern w:val="0"/>
                <w:szCs w:val="21"/>
              </w:rPr>
              <w:t>业绩加3分；本项最高得</w:t>
            </w:r>
            <w:r>
              <w:rPr>
                <w:rFonts w:hint="eastAsia" w:ascii="宋体" w:hAnsi="宋体" w:cs="宋体"/>
                <w:color w:val="auto"/>
                <w:kern w:val="0"/>
                <w:szCs w:val="21"/>
                <w:lang w:val="en-US" w:eastAsia="zh-CN"/>
              </w:rPr>
              <w:t>15</w:t>
            </w:r>
            <w:r>
              <w:rPr>
                <w:rFonts w:hint="eastAsia" w:ascii="宋体" w:hAnsi="宋体" w:cs="宋体"/>
                <w:color w:val="auto"/>
                <w:kern w:val="0"/>
                <w:szCs w:val="21"/>
              </w:rPr>
              <w:t>分。</w:t>
            </w:r>
            <w:r>
              <w:rPr>
                <w:rFonts w:hint="eastAsia" w:ascii="宋体" w:hAnsi="宋体" w:cs="宋体"/>
                <w:color w:val="auto"/>
                <w:kern w:val="0"/>
                <w:szCs w:val="21"/>
                <w:lang w:eastAsia="zh-CN"/>
              </w:rPr>
              <w:t>（类似业绩是指房屋结构鉴定检测等）</w:t>
            </w:r>
          </w:p>
          <w:p w14:paraId="680C0F97">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仿宋" w:hAnsi="仿宋" w:eastAsia="仿宋" w:cs="仿宋"/>
                <w:sz w:val="32"/>
                <w:szCs w:val="32"/>
                <w:lang w:val="en-US" w:eastAsia="zh-CN"/>
              </w:rPr>
            </w:pPr>
            <w:r>
              <w:rPr>
                <w:rFonts w:hint="eastAsia" w:ascii="宋体" w:hAnsi="宋体" w:cs="宋体"/>
                <w:color w:val="auto"/>
                <w:kern w:val="0"/>
                <w:szCs w:val="21"/>
              </w:rPr>
              <w:t>注：提供合同协议书复印件并加盖单位公章。</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84B7F9A">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33CB9D29">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7BF79E7B">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eastAsia="宋体" w:cs="宋体"/>
                <w:color w:val="auto"/>
                <w:kern w:val="0"/>
                <w:szCs w:val="21"/>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8965DDA">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sz w:val="32"/>
                <w:szCs w:val="32"/>
              </w:rPr>
            </w:pPr>
            <w:r>
              <w:rPr>
                <w:rFonts w:hint="eastAsia" w:ascii="宋体" w:hAnsi="宋体"/>
                <w:color w:val="auto"/>
                <w:szCs w:val="21"/>
                <w:lang w:val="zh-CN"/>
              </w:rPr>
              <w:t>专业技术力量配备</w:t>
            </w:r>
            <w:r>
              <w:rPr>
                <w:rFonts w:hint="eastAsia" w:ascii="宋体" w:hAnsi="宋体"/>
                <w:color w:val="auto"/>
                <w:szCs w:val="21"/>
                <w:lang w:val="en-US" w:eastAsia="zh-CN"/>
              </w:rPr>
              <w:t>13</w:t>
            </w:r>
            <w:r>
              <w:rPr>
                <w:rFonts w:hint="eastAsia" w:ascii="宋体" w:hAnsi="宋体"/>
                <w:color w:val="auto"/>
                <w:szCs w:val="21"/>
                <w:lang w:val="zh-CN"/>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2F60856">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sz w:val="32"/>
                <w:szCs w:val="32"/>
                <w:lang w:val="en-US" w:eastAsia="zh-CN"/>
              </w:rPr>
            </w:pPr>
            <w:r>
              <w:rPr>
                <w:rFonts w:hint="eastAsia" w:ascii="宋体" w:hAnsi="宋体"/>
                <w:color w:val="auto"/>
                <w:szCs w:val="21"/>
                <w:lang w:val="en-US" w:eastAsia="zh-CN"/>
              </w:rPr>
              <w:t>13</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DD7A1E8">
            <w:pPr>
              <w:keepNext w:val="0"/>
              <w:keepLines w:val="0"/>
              <w:pageBreakBefore w:val="0"/>
              <w:widowControl w:val="0"/>
              <w:numPr>
                <w:ilvl w:val="0"/>
                <w:numId w:val="0"/>
              </w:numPr>
              <w:kinsoku/>
              <w:wordWrap/>
              <w:overflowPunct/>
              <w:topLinePunct w:val="0"/>
              <w:autoSpaceDE/>
              <w:autoSpaceDN/>
              <w:bidi w:val="0"/>
              <w:adjustRightInd/>
              <w:snapToGrid/>
              <w:spacing w:before="60" w:after="60" w:line="360" w:lineRule="exact"/>
              <w:rPr>
                <w:rFonts w:hint="eastAsia" w:ascii="宋体" w:hAnsi="宋体" w:eastAsia="宋体" w:cs="Times New Roman"/>
                <w:color w:val="auto"/>
                <w:szCs w:val="18"/>
                <w:lang w:val="en-US" w:eastAsia="zh-CN"/>
              </w:rPr>
            </w:pPr>
            <w:r>
              <w:rPr>
                <w:rFonts w:hint="eastAsia" w:ascii="宋体" w:hAnsi="宋体" w:eastAsia="宋体" w:cs="Times New Roman"/>
                <w:color w:val="auto"/>
                <w:szCs w:val="18"/>
                <w:lang w:val="en-US" w:eastAsia="zh-CN"/>
              </w:rPr>
              <w:t>项目负责人需具备检测相关中级或二级结构工程师资格工程师职称得7分，项目负责人需具备检测相关高级或一级结构工程师资格工程师职称得12分。（提供证书复印件或扫描件加盖供应商单位鲜章）</w:t>
            </w:r>
          </w:p>
          <w:p w14:paraId="3A447293">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仿宋" w:hAnsi="仿宋" w:eastAsia="仿宋" w:cs="仿宋"/>
                <w:sz w:val="32"/>
                <w:szCs w:val="32"/>
                <w:lang w:val="en-US" w:eastAsia="zh-CN"/>
              </w:rPr>
            </w:pPr>
            <w:r>
              <w:rPr>
                <w:rFonts w:hint="eastAsia" w:ascii="宋体" w:hAnsi="宋体"/>
                <w:color w:val="auto"/>
                <w:szCs w:val="21"/>
                <w:lang w:val="zh-CN"/>
              </w:rPr>
              <w:t>注：(1)上述人员需注册在投标人本单位，提供人员相应的证书复印件、投标单位2021年以来为其购买的连续6个月的养老保险证明材料，并加盖单位公章。</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B8EFC78">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1CEC4166">
        <w:tblPrEx>
          <w:tblCellMar>
            <w:top w:w="0" w:type="dxa"/>
            <w:left w:w="108" w:type="dxa"/>
            <w:bottom w:w="0" w:type="dxa"/>
            <w:right w:w="108" w:type="dxa"/>
          </w:tblCellMar>
        </w:tblPrEx>
        <w:trPr>
          <w:trHeight w:val="1055"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7CD82B17">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lang w:val="en-US" w:eastAsia="zh-CN"/>
              </w:rPr>
            </w:pPr>
            <w:r>
              <w:rPr>
                <w:rFonts w:hint="eastAsia" w:ascii="宋体" w:hAnsi="宋体" w:eastAsia="宋体" w:cs="宋体"/>
                <w:color w:val="auto"/>
                <w:kern w:val="0"/>
                <w:szCs w:val="21"/>
              </w:rPr>
              <w:t>4</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8D0EA30">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sz w:val="32"/>
                <w:szCs w:val="32"/>
                <w:lang w:val="en-US" w:eastAsia="zh-CN"/>
              </w:rPr>
            </w:pPr>
            <w:r>
              <w:rPr>
                <w:rFonts w:hint="eastAsia" w:ascii="宋体" w:hAnsi="宋体"/>
                <w:color w:val="auto"/>
                <w:szCs w:val="21"/>
                <w:lang w:val="zh-CN"/>
              </w:rPr>
              <w:t>服务方案</w:t>
            </w:r>
            <w:r>
              <w:rPr>
                <w:rFonts w:hint="eastAsia" w:ascii="宋体" w:hAnsi="宋体"/>
                <w:color w:val="auto"/>
                <w:szCs w:val="21"/>
                <w:lang w:val="en-US" w:eastAsia="zh-CN"/>
              </w:rPr>
              <w:t>42</w:t>
            </w:r>
            <w:r>
              <w:rPr>
                <w:rFonts w:hint="eastAsia" w:ascii="宋体" w:hAnsi="宋体"/>
                <w:color w:val="auto"/>
                <w:szCs w:val="21"/>
                <w:lang w:val="zh-CN"/>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D3A1925">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default" w:ascii="仿宋" w:hAnsi="仿宋" w:eastAsia="仿宋" w:cs="仿宋"/>
                <w:kern w:val="1"/>
                <w:sz w:val="32"/>
                <w:szCs w:val="32"/>
                <w:lang w:val="en-US" w:eastAsia="zh-CN"/>
              </w:rPr>
            </w:pPr>
            <w:r>
              <w:rPr>
                <w:rFonts w:hint="eastAsia" w:ascii="宋体" w:hAnsi="宋体" w:eastAsia="宋体" w:cs="宋体"/>
                <w:color w:val="auto"/>
                <w:kern w:val="0"/>
                <w:szCs w:val="21"/>
                <w:lang w:val="en-US" w:eastAsia="zh-CN"/>
              </w:rPr>
              <w:t>42</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20E22B7">
            <w:pPr>
              <w:keepNext w:val="0"/>
              <w:keepLines w:val="0"/>
              <w:pageBreakBefore w:val="0"/>
              <w:widowControl w:val="0"/>
              <w:kinsoku/>
              <w:wordWrap/>
              <w:overflowPunct/>
              <w:topLinePunct w:val="0"/>
              <w:autoSpaceDE/>
              <w:autoSpaceDN/>
              <w:bidi w:val="0"/>
              <w:adjustRightInd/>
              <w:snapToGrid/>
              <w:spacing w:before="60" w:after="60" w:line="360" w:lineRule="exact"/>
              <w:rPr>
                <w:rFonts w:ascii="宋体" w:hAnsi="宋体"/>
                <w:color w:val="auto"/>
                <w:szCs w:val="21"/>
                <w:lang w:val="zh-CN"/>
              </w:rPr>
            </w:pPr>
            <w:r>
              <w:rPr>
                <w:rFonts w:hint="eastAsia" w:ascii="宋体" w:hAnsi="宋体"/>
                <w:color w:val="auto"/>
                <w:szCs w:val="21"/>
                <w:lang w:val="zh-CN"/>
              </w:rPr>
              <w:t>方案内容至少包含①服务方案（工作实施进度计划、组织机构安排、服务工作流程）、②对项目检测成果交底方案（成果质量保障措施、后期服务承诺及保障）、③内部管理制度（财务管理制度、人事管理制度、档案管理制度、质量控制制度、合同管理制度、培训制度）。</w:t>
            </w:r>
          </w:p>
          <w:p w14:paraId="77443BA7">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仿宋" w:hAnsi="仿宋" w:eastAsia="仿宋" w:cs="仿宋"/>
                <w:kern w:val="1"/>
                <w:sz w:val="32"/>
                <w:szCs w:val="32"/>
                <w:lang w:val="en-US" w:eastAsia="zh-CN"/>
              </w:rPr>
            </w:pPr>
            <w:r>
              <w:rPr>
                <w:rFonts w:hint="eastAsia" w:ascii="宋体" w:hAnsi="宋体"/>
                <w:color w:val="auto"/>
                <w:szCs w:val="21"/>
                <w:lang w:val="zh-CN"/>
              </w:rPr>
              <w:t>方案各项内容齐全、表达清楚、科学合理、操作性强的得</w:t>
            </w:r>
            <w:r>
              <w:rPr>
                <w:rFonts w:hint="eastAsia" w:ascii="宋体" w:hAnsi="宋体"/>
                <w:color w:val="auto"/>
                <w:szCs w:val="21"/>
                <w:lang w:val="en-US" w:eastAsia="zh-CN"/>
              </w:rPr>
              <w:t>42</w:t>
            </w:r>
            <w:r>
              <w:rPr>
                <w:rFonts w:hint="eastAsia" w:ascii="宋体" w:hAnsi="宋体"/>
                <w:color w:val="auto"/>
                <w:szCs w:val="21"/>
                <w:lang w:val="zh-CN"/>
              </w:rPr>
              <w:t>分，每缺一项扣</w:t>
            </w: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lang w:val="zh-CN"/>
              </w:rPr>
              <w:t>分；每有一项内容中存在表述不清晰、内容不全面、不合理或操作性较差的扣</w:t>
            </w:r>
            <w:r>
              <w:rPr>
                <w:rFonts w:hint="eastAsia" w:ascii="宋体" w:hAnsi="宋体"/>
                <w:color w:val="auto"/>
                <w:szCs w:val="21"/>
                <w:lang w:val="en-US" w:eastAsia="zh-CN"/>
              </w:rPr>
              <w:t>7</w:t>
            </w:r>
            <w:r>
              <w:rPr>
                <w:rFonts w:hint="eastAsia" w:ascii="宋体" w:hAnsi="宋体"/>
                <w:color w:val="auto"/>
                <w:szCs w:val="21"/>
                <w:lang w:val="zh-CN"/>
              </w:rPr>
              <w:t>分，扣完为止。</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D19D541">
            <w:pPr>
              <w:spacing w:line="320" w:lineRule="atLeast"/>
              <w:jc w:val="center"/>
              <w:rPr>
                <w:rFonts w:hint="eastAsia" w:ascii="仿宋" w:hAnsi="仿宋" w:eastAsia="仿宋" w:cs="仿宋"/>
                <w:sz w:val="32"/>
                <w:szCs w:val="32"/>
              </w:rPr>
            </w:pPr>
          </w:p>
        </w:tc>
      </w:tr>
    </w:tbl>
    <w:p w14:paraId="0ADB6A9B">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1E7789"/>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9F772DC"/>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1FE4E59"/>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BA7A1D"/>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5A4124"/>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5B100C"/>
    <w:rsid w:val="67A45BAF"/>
    <w:rsid w:val="67CF5796"/>
    <w:rsid w:val="6855309E"/>
    <w:rsid w:val="68AC458A"/>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5F4F8D"/>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index 8"/>
    <w:basedOn w:val="1"/>
    <w:qFormat/>
    <w:uiPriority w:val="0"/>
    <w:pPr>
      <w:ind w:left="1400" w:leftChars="1400"/>
    </w:p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20"/>
    <w:qFormat/>
    <w:uiPriority w:val="0"/>
    <w:rPr>
      <w:rFonts w:ascii="Calibri" w:hAnsi="Calibri" w:cs="Calibri"/>
      <w:color w:val="000000"/>
      <w:sz w:val="18"/>
      <w:szCs w:val="18"/>
      <w:u w:val="none"/>
    </w:rPr>
  </w:style>
  <w:style w:type="character" w:customStyle="1" w:styleId="26">
    <w:name w:val="font01"/>
    <w:basedOn w:val="20"/>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6026</Words>
  <Characters>6233</Characters>
  <Lines>0</Lines>
  <Paragraphs>0</Paragraphs>
  <TotalTime>0</TotalTime>
  <ScaleCrop>false</ScaleCrop>
  <LinksUpToDate>false</LinksUpToDate>
  <CharactersWithSpaces>6429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2025-05-15T03:14:12Z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6EC4A87FD6504F24B592F856F18D8FBC_13</vt:lpwstr>
  </property>
  <property fmtid="{D5CDD505-2E9C-101B-9397-08002B2CF9AE}" pid="4" name="KSOTemplateDocerSaveRecord">
    <vt:lpwstr>eyJoZGlkIjoiYjJmZmFmMGFkNTkxMTc3Y2Q4ODdmNWVhNTFmYjU5MjciLCJ1c2VySWQiOiIxMjE4MTQ0Nzk4In0=</vt:lpwstr>
  </property>
</Properties>
</file>