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w:t>
      </w:r>
      <w:r>
        <w:rPr>
          <w:rFonts w:hint="eastAsia" w:ascii="黑体" w:hAnsi="黑体" w:eastAsia="黑体" w:cs="黑体"/>
          <w:color w:val="auto"/>
          <w:sz w:val="36"/>
          <w:szCs w:val="36"/>
          <w:lang w:eastAsia="zh-CN"/>
        </w:rPr>
        <w:t>内</w:t>
      </w:r>
      <w:r>
        <w:rPr>
          <w:rFonts w:hint="eastAsia" w:ascii="黑体" w:hAnsi="黑体" w:eastAsia="黑体" w:cs="黑体"/>
          <w:color w:val="auto"/>
          <w:sz w:val="36"/>
          <w:szCs w:val="36"/>
          <w:lang w:val="en-US" w:eastAsia="zh-CN"/>
        </w:rPr>
        <w:t>采购</w:t>
      </w:r>
      <w:r>
        <w:rPr>
          <w:rFonts w:hint="eastAsia" w:ascii="黑体" w:hAnsi="黑体" w:eastAsia="黑体" w:cs="黑体"/>
          <w:sz w:val="36"/>
          <w:szCs w:val="36"/>
          <w:lang w:eastAsia="zh-CN"/>
        </w:rPr>
        <w:t>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采购项目名称：第一批试剂配送服务</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YNCG2025010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w:t>
      </w:r>
      <w:r>
        <w:rPr>
          <w:rFonts w:hint="eastAsia" w:ascii="仿宋" w:hAnsi="仿宋" w:eastAsia="仿宋" w:cs="仿宋"/>
          <w:color w:val="000000" w:themeColor="text1"/>
          <w:kern w:val="0"/>
          <w:sz w:val="32"/>
          <w:szCs w:val="32"/>
          <w:lang w:eastAsia="zh-CN"/>
          <w14:textFill>
            <w14:solidFill>
              <w14:schemeClr w14:val="tx1"/>
            </w14:solidFill>
          </w14:textFill>
        </w:rPr>
        <w:t>、供应商参加本次采购活动</w:t>
      </w:r>
      <w:r>
        <w:rPr>
          <w:rFonts w:hint="eastAsia" w:ascii="仿宋" w:hAnsi="仿宋" w:eastAsia="仿宋" w:cs="仿宋"/>
          <w:color w:val="000000" w:themeColor="text1"/>
          <w:kern w:val="0"/>
          <w:sz w:val="32"/>
          <w:szCs w:val="32"/>
          <w:lang w:val="en-US" w:eastAsia="zh-CN"/>
          <w14:textFill>
            <w14:solidFill>
              <w14:schemeClr w14:val="tx1"/>
            </w14:solidFill>
          </w14:textFill>
        </w:rPr>
        <w:t>需要</w:t>
      </w:r>
      <w:r>
        <w:rPr>
          <w:rFonts w:hint="eastAsia" w:ascii="仿宋" w:hAnsi="仿宋" w:eastAsia="仿宋" w:cs="仿宋"/>
          <w:color w:val="000000" w:themeColor="text1"/>
          <w:kern w:val="0"/>
          <w:sz w:val="32"/>
          <w:szCs w:val="32"/>
          <w:lang w:eastAsia="zh-CN"/>
          <w14:textFill>
            <w14:solidFill>
              <w14:schemeClr w14:val="tx1"/>
            </w14:solidFill>
          </w14:textFill>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4.请满足上述资质要求的供应商于2025年6月23日17:00之前将资料送至乐山市五通桥区人民医院采购办（行政楼三楼楼梯处），在截至时间以后送到的响应文件将被拒绝并退还给供应商。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综合评分法（一次报价），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7"/>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w:t>
      </w:r>
      <w:r>
        <w:rPr>
          <w:rFonts w:hint="eastAsia" w:ascii="仿宋" w:hAnsi="仿宋" w:eastAsia="仿宋" w:cs="仿宋"/>
          <w:color w:val="000000" w:themeColor="text1"/>
          <w:kern w:val="0"/>
          <w:sz w:val="32"/>
          <w:szCs w:val="32"/>
          <w:lang w:val="en-US" w:eastAsia="zh-CN"/>
          <w14:textFill>
            <w14:solidFill>
              <w14:schemeClr w14:val="tx1"/>
            </w14:solidFill>
          </w14:textFill>
        </w:rPr>
        <w:t>龙</w:t>
      </w:r>
      <w:r>
        <w:rPr>
          <w:rFonts w:hint="eastAsia" w:ascii="仿宋" w:hAnsi="仿宋" w:eastAsia="仿宋" w:cs="仿宋"/>
          <w:color w:val="000000" w:themeColor="text1"/>
          <w:kern w:val="0"/>
          <w:sz w:val="32"/>
          <w:szCs w:val="32"/>
          <w:lang w:eastAsia="zh-CN"/>
          <w14:textFill>
            <w14:solidFill>
              <w14:schemeClr w14:val="tx1"/>
            </w14:solidFill>
          </w14:textFill>
        </w:rPr>
        <w:t>老师（</w:t>
      </w:r>
      <w:r>
        <w:rPr>
          <w:rFonts w:hint="eastAsia" w:ascii="仿宋" w:hAnsi="仿宋" w:eastAsia="仿宋" w:cs="仿宋"/>
          <w:color w:val="000000" w:themeColor="text1"/>
          <w:kern w:val="0"/>
          <w:sz w:val="32"/>
          <w:szCs w:val="32"/>
          <w:lang w:val="en-US" w:eastAsia="zh-CN"/>
          <w14:textFill>
            <w14:solidFill>
              <w14:schemeClr w14:val="tx1"/>
            </w14:solidFill>
          </w14:textFill>
        </w:rPr>
        <w:t>采购办</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14:paraId="3DDB2E3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w:t>
      </w:r>
      <w:r>
        <w:rPr>
          <w:rFonts w:hint="eastAsia" w:ascii="仿宋" w:hAnsi="仿宋" w:eastAsia="仿宋" w:cs="仿宋"/>
          <w:color w:val="000000" w:themeColor="text1"/>
          <w:kern w:val="0"/>
          <w:sz w:val="32"/>
          <w:szCs w:val="32"/>
          <w:lang w:val="en-US" w:eastAsia="zh-CN"/>
          <w14:textFill>
            <w14:solidFill>
              <w14:schemeClr w14:val="tx1"/>
            </w14:solidFill>
          </w14:textFill>
        </w:rPr>
        <w:t>蒋</w:t>
      </w:r>
      <w:r>
        <w:rPr>
          <w:rFonts w:hint="eastAsia" w:ascii="仿宋" w:hAnsi="仿宋" w:eastAsia="仿宋" w:cs="仿宋"/>
          <w:color w:val="000000" w:themeColor="text1"/>
          <w:kern w:val="0"/>
          <w:sz w:val="32"/>
          <w:szCs w:val="32"/>
          <w:lang w:eastAsia="zh-CN"/>
          <w14:textFill>
            <w14:solidFill>
              <w14:schemeClr w14:val="tx1"/>
            </w14:solidFill>
          </w14:textFill>
        </w:rPr>
        <w:t>老师（</w:t>
      </w:r>
      <w:r>
        <w:rPr>
          <w:rFonts w:hint="eastAsia" w:ascii="仿宋" w:hAnsi="仿宋" w:eastAsia="仿宋" w:cs="仿宋"/>
          <w:color w:val="000000" w:themeColor="text1"/>
          <w:kern w:val="0"/>
          <w:sz w:val="32"/>
          <w:szCs w:val="32"/>
          <w:lang w:val="en-US" w:eastAsia="zh-CN"/>
          <w14:textFill>
            <w14:solidFill>
              <w14:schemeClr w14:val="tx1"/>
            </w14:solidFill>
          </w14:textFill>
        </w:rPr>
        <w:t>药剂科</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0833-3351161</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1"/>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8"/>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6"/>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25737"/>
      <w:bookmarkStart w:id="1" w:name="_Toc9490"/>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4003"/>
      <w:bookmarkStart w:id="5" w:name="_Toc439699516"/>
      <w:bookmarkStart w:id="6" w:name="_Toc12449"/>
      <w:bookmarkStart w:id="7" w:name="_Toc17549"/>
      <w:r>
        <w:rPr>
          <w:rFonts w:hint="eastAsia" w:ascii="黑体" w:hAnsi="黑体" w:eastAsia="黑体" w:cs="黑体"/>
          <w:color w:val="000000"/>
          <w:spacing w:val="2"/>
          <w:sz w:val="40"/>
          <w:szCs w:val="40"/>
        </w:rPr>
        <w:t>承诺函</w:t>
      </w:r>
    </w:p>
    <w:p w14:paraId="65A6C026">
      <w:pPr>
        <w:pStyle w:val="6"/>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30"/>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6184"/>
      <w:bookmarkStart w:id="9" w:name="_Toc439699522"/>
      <w:bookmarkStart w:id="10" w:name="_Toc24199"/>
      <w:bookmarkStart w:id="11" w:name="_Toc12426"/>
      <w:bookmarkStart w:id="12" w:name="_Toc1287"/>
      <w:bookmarkStart w:id="13" w:name="_Toc199"/>
      <w:bookmarkStart w:id="14" w:name="_Toc1800"/>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8"/>
        <w:spacing w:line="240" w:lineRule="auto"/>
        <w:ind w:firstLine="0"/>
        <w:rPr>
          <w:rFonts w:hint="eastAsia" w:ascii="仿宋" w:hAnsi="仿宋" w:eastAsia="仿宋" w:cs="仿宋"/>
          <w:color w:val="auto"/>
          <w:sz w:val="32"/>
          <w:szCs w:val="32"/>
        </w:rPr>
      </w:pPr>
    </w:p>
    <w:p w14:paraId="6DB0E3BA">
      <w:pPr>
        <w:pStyle w:val="28"/>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6"/>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5813"/>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0"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8"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0"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8" w:type="pct"/>
            <w:noWrap w:val="0"/>
            <w:vAlign w:val="center"/>
          </w:tcPr>
          <w:p w14:paraId="703AD7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14:paraId="6E0A967E">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0"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8"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0"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8"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0"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8"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0"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p>
        </w:tc>
        <w:tc>
          <w:tcPr>
            <w:tcW w:w="3258" w:type="pct"/>
            <w:noWrap w:val="0"/>
            <w:vAlign w:val="center"/>
          </w:tcPr>
          <w:p w14:paraId="1868FD0C">
            <w:pPr>
              <w:snapToGrid w:val="0"/>
              <w:spacing w:line="240" w:lineRule="auto"/>
              <w:contextualSpacing/>
              <w:rPr>
                <w:rFonts w:hint="eastAsia" w:ascii="仿宋" w:hAnsi="仿宋" w:eastAsia="仿宋" w:cs="仿宋"/>
                <w:color w:val="000000"/>
                <w:spacing w:val="2"/>
                <w:sz w:val="32"/>
                <w:szCs w:val="32"/>
                <w:lang w:eastAsia="zh-CN"/>
              </w:rPr>
            </w:pPr>
          </w:p>
        </w:tc>
        <w:tc>
          <w:tcPr>
            <w:tcW w:w="511" w:type="pct"/>
            <w:noWrap w:val="0"/>
            <w:vAlign w:val="center"/>
          </w:tcPr>
          <w:p w14:paraId="72980604">
            <w:pPr>
              <w:snapToGrid w:val="0"/>
              <w:spacing w:line="240" w:lineRule="auto"/>
              <w:contextualSpacing/>
              <w:rPr>
                <w:rFonts w:hint="eastAsia" w:ascii="仿宋" w:hAnsi="仿宋" w:eastAsia="仿宋" w:cs="仿宋"/>
                <w:color w:val="000000"/>
                <w:spacing w:val="2"/>
                <w:sz w:val="32"/>
                <w:szCs w:val="32"/>
                <w:lang w:val="en-US" w:eastAsia="zh-CN"/>
              </w:rPr>
            </w:pPr>
          </w:p>
        </w:tc>
        <w:tc>
          <w:tcPr>
            <w:tcW w:w="839" w:type="pct"/>
            <w:noWrap w:val="0"/>
            <w:vAlign w:val="center"/>
          </w:tcPr>
          <w:p w14:paraId="6264DAF9">
            <w:pPr>
              <w:snapToGrid w:val="0"/>
              <w:spacing w:line="240" w:lineRule="auto"/>
              <w:contextualSpacing/>
              <w:rPr>
                <w:rFonts w:hint="eastAsia" w:ascii="仿宋" w:hAnsi="仿宋" w:eastAsia="仿宋" w:cs="仿宋"/>
                <w:color w:val="000000"/>
                <w:spacing w:val="2"/>
                <w:sz w:val="32"/>
                <w:szCs w:val="32"/>
                <w:lang w:val="en-US" w:eastAsia="zh-CN"/>
              </w:rPr>
            </w:pP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0"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p>
        </w:tc>
        <w:tc>
          <w:tcPr>
            <w:tcW w:w="3258"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bl>
    <w:p w14:paraId="0C144795">
      <w:pPr>
        <w:pStyle w:val="6"/>
        <w:rPr>
          <w:rFonts w:hint="eastAsia" w:ascii="仿宋" w:hAnsi="仿宋" w:eastAsia="仿宋" w:cs="仿宋"/>
          <w:color w:val="auto"/>
          <w:sz w:val="30"/>
          <w:szCs w:val="30"/>
          <w:highlight w:val="none"/>
          <w:lang w:eastAsia="zh-CN"/>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6"/>
        <w:rPr>
          <w:rFonts w:hint="eastAsia" w:ascii="黑体" w:hAnsi="黑体" w:eastAsia="黑体" w:cs="黑体"/>
          <w:lang w:val="en-US" w:eastAsia="zh-CN"/>
        </w:rPr>
      </w:pPr>
    </w:p>
    <w:p w14:paraId="2E758947">
      <w:pPr>
        <w:pStyle w:val="17"/>
        <w:numPr>
          <w:ilvl w:val="0"/>
          <w:numId w:val="0"/>
        </w:numPr>
        <w:spacing w:line="240" w:lineRule="auto"/>
        <w:ind w:leftChars="0"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产品需求一览表</w:t>
      </w:r>
    </w:p>
    <w:tbl>
      <w:tblPr>
        <w:tblStyle w:val="18"/>
        <w:tblW w:w="9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2993"/>
        <w:gridCol w:w="2856"/>
        <w:gridCol w:w="1522"/>
        <w:gridCol w:w="1153"/>
      </w:tblGrid>
      <w:tr w14:paraId="5068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35C">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BD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产品注册证名称</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6D1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包装规格</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2D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计价单位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1DD4">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限价</w:t>
            </w:r>
          </w:p>
        </w:tc>
      </w:tr>
      <w:tr w14:paraId="79F5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2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2A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ABO、RhD血型定型检测卡（单克隆抗体）</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A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12人份/盒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B901">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人份</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95A2">
            <w:pPr>
              <w:jc w:val="left"/>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25.2</w:t>
            </w:r>
          </w:p>
        </w:tc>
      </w:tr>
      <w:tr w14:paraId="657B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0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B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抗人球蛋白检测卡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5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12卡/盒，不规则抗体筛检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BC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人份</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92A">
            <w:pPr>
              <w:jc w:val="left"/>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28.8</w:t>
            </w:r>
          </w:p>
        </w:tc>
      </w:tr>
      <w:tr w14:paraId="204A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C9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78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抗人球蛋白检测卡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F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12卡/盒，抗人球蛋白交叉配血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5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人份</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D65">
            <w:pPr>
              <w:jc w:val="left"/>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28.8</w:t>
            </w:r>
          </w:p>
        </w:tc>
      </w:tr>
      <w:tr w14:paraId="5DF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9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84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不规则抗体检测试剂(人血红细胞)</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A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每盒有OⅠ/OⅡ/OⅢ红细胞各1,5ml/瓶,浓度4%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0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E0FD">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159F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23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7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ABO、Rh血型检测质控品（微柱凝胶法）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CD5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6瓶/盒 </w:t>
            </w:r>
          </w:p>
          <w:p w14:paraId="49448AB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样本1 4ml/瓶*1瓶、 </w:t>
            </w:r>
          </w:p>
          <w:p w14:paraId="41C7733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样本2 4ml/瓶*1瓶、</w:t>
            </w:r>
          </w:p>
          <w:p w14:paraId="48291A2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样本3 2ml/瓶*1瓶、 </w:t>
            </w:r>
          </w:p>
          <w:p w14:paraId="252A86F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样本4 2ml/瓶*1瓶、 </w:t>
            </w:r>
          </w:p>
          <w:p w14:paraId="4A9BA19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样本5 4ml/瓶*1瓶、 </w:t>
            </w:r>
          </w:p>
          <w:p w14:paraId="07B6CF54">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样本6 2ml/瓶*1瓶.</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5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D1DF">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3499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E3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交叉配血质控品（微柱凝胶法）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A4D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5瓶/盒 </w:t>
            </w:r>
          </w:p>
          <w:p w14:paraId="07D4AEB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样本1 2ml/瓶*1瓶、</w:t>
            </w:r>
          </w:p>
          <w:p w14:paraId="55CD6EA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样本2 1ml/瓶*1瓶、</w:t>
            </w:r>
          </w:p>
          <w:p w14:paraId="05F0FB7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样本3 1ml/瓶*1瓶、</w:t>
            </w:r>
          </w:p>
          <w:p w14:paraId="26473E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样本4 2ml/瓶*1瓶、</w:t>
            </w:r>
          </w:p>
          <w:p w14:paraId="3DD141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样本5 2ml/瓶*1瓶</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1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A39A">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772A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4A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B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不规则抗体筛检质控品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B0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4瓶/盒</w:t>
            </w:r>
          </w:p>
          <w:p w14:paraId="74EC877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样本1 2ml/瓶*2瓶、</w:t>
            </w:r>
          </w:p>
          <w:p w14:paraId="08FC17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样本2 2ml/瓶*2瓶</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6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E4F">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08CC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6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0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ABO血型反定型试剂盒（人血红细胞）</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E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每盒有A1/B/O细胞各一瓶,10mL/瓶,浓度0.8%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0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05C">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2875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BA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甲型肝炎病毒IgM抗体检测试剂盒（酶联免疫法）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B7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96人份/盒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1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6E9F">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4182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BD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F2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戊型肝炎病毒IgM抗体检测试剂盒(酶联免疫法）</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F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96人份/盒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9C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22AD">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3D81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23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06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凝聚胺介质试剂</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C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150测试/盒</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8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2D89">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7227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15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E6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乙型肝炎病毒表面抗体（HBsAb）血清（液体）质控品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C3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480mIu/ml，0.5ml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91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99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F7A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1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1E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乙型肝炎病毒e抗原(HBeAg)(液体)质控品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3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64NCU/ml，0.5ml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85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7E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49A7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99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80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乙型肝炎病毒e抗体（HBeAb）血清（液体）质控品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D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45NCU/ml，0.5ml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7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C4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69BA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C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B6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乙型肝炎病毒核心抗体(HBcAb)血清(液体)质控品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F9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100IU/ml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3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8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0563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30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7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梅毒螺旋体抗体(抗TP)血清(液体）质控品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9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40mIU/ml，0.5ml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89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A6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55B3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B0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41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丙型肝炎病毒抗体(HCV Ab)系列血清(液体)标准物质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C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8NCU/ml，0.5ml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9A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63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220E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7D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6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甲型肝炎病毒IgM抗体(HAV IgM) (液体)质控品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43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4NCU/ml，0.5ml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7E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0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341E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09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8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梅毒螺旋体抗体(抗TP)血清（液体）标准物质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CA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400miu(TP非2NCU)/ml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B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6C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35AA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9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0A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人类免疫缺陷病毒Ⅰ型抗体(抗HIV-Ⅰ) 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DF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1NCU/ml，1ml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6C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581B">
            <w:pPr>
              <w:jc w:val="left"/>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r>
      <w:tr w14:paraId="6109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1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8F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人类免疫缺陷病毒Ⅰ型抗体(抗HIV-Ⅰ) 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C1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8NCU/ml，1ml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86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74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1896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A0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4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人类免疫缺陷病毒Ⅰ型抗体(抗HIV-Ⅰ) 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C7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0.5NCU/ml，1ml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C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7F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2F6C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2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戊型肝炎IgM抗体（HEV IgM）血清（液体）标准物质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93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D1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5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70A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07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C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阴性（液体）非定值质控品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E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F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B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2B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B8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98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乙型肝炎病毒表面抗原(HBsAg)（液体）质控品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DF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64IU/ml，0.5ml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EE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C7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CBE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27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0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乙型肝炎表面抗原(HBsAg)血清(液体)标准物质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8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0.2IU/ml，0.5ml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1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C9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5444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12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34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梅毒螺旋体抗体(抗TP)血清(液体）质控品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A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80mIU/ml，0.5ml</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D0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6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387D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9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A2B64">
            <w:pPr>
              <w:keepNext w:val="0"/>
              <w:keepLines w:val="0"/>
              <w:widowControl/>
              <w:suppressLineNumbers w:val="0"/>
              <w:tabs>
                <w:tab w:val="left" w:pos="1413"/>
              </w:tabs>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备注：序号1、2、3适用于需匹配长春博讯TD-A型血型血清用</w:t>
            </w:r>
            <w:bookmarkStart w:id="16" w:name="_GoBack"/>
            <w:bookmarkEnd w:id="16"/>
            <w:r>
              <w:rPr>
                <w:rFonts w:hint="eastAsia" w:ascii="仿宋" w:hAnsi="仿宋" w:eastAsia="仿宋" w:cs="仿宋"/>
                <w:i w:val="0"/>
                <w:iCs w:val="0"/>
                <w:color w:val="000000"/>
                <w:kern w:val="0"/>
                <w:sz w:val="22"/>
                <w:szCs w:val="22"/>
                <w:u w:val="none"/>
                <w:lang w:val="en-US" w:eastAsia="zh-CN" w:bidi="ar"/>
              </w:rPr>
              <w:t>离心机。</w:t>
            </w:r>
          </w:p>
        </w:tc>
      </w:tr>
    </w:tbl>
    <w:p w14:paraId="73AAE9C7">
      <w:pPr>
        <w:pStyle w:val="17"/>
        <w:numPr>
          <w:ilvl w:val="0"/>
          <w:numId w:val="0"/>
        </w:numPr>
        <w:spacing w:line="240" w:lineRule="auto"/>
        <w:ind w:leftChars="0"/>
        <w:rPr>
          <w:rFonts w:hint="eastAsia" w:ascii="仿宋" w:hAnsi="仿宋" w:eastAsia="仿宋" w:cs="仿宋"/>
          <w:sz w:val="32"/>
          <w:szCs w:val="32"/>
          <w:lang w:val="en-US" w:eastAsia="zh-CN"/>
        </w:rPr>
      </w:pPr>
    </w:p>
    <w:p w14:paraId="4A41963C">
      <w:pPr>
        <w:pStyle w:val="17"/>
        <w:numPr>
          <w:ilvl w:val="0"/>
          <w:numId w:val="0"/>
        </w:numPr>
        <w:spacing w:line="240" w:lineRule="auto"/>
        <w:ind w:leftChars="0"/>
        <w:rPr>
          <w:rFonts w:hint="eastAsia" w:ascii="仿宋" w:hAnsi="仿宋" w:eastAsia="仿宋" w:cs="仿宋"/>
          <w:sz w:val="32"/>
          <w:szCs w:val="32"/>
          <w:lang w:val="en-US" w:eastAsia="zh-CN"/>
        </w:rPr>
      </w:pPr>
    </w:p>
    <w:p w14:paraId="675DE11C">
      <w:pPr>
        <w:pStyle w:val="17"/>
        <w:numPr>
          <w:ilvl w:val="0"/>
          <w:numId w:val="0"/>
        </w:numPr>
        <w:spacing w:line="240" w:lineRule="auto"/>
        <w:ind w:leftChars="0"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商务要求：</w:t>
      </w:r>
    </w:p>
    <w:p w14:paraId="757903CC">
      <w:pPr>
        <w:spacing w:line="360" w:lineRule="auto"/>
        <w:rPr>
          <w:rFonts w:hint="eastAsia" w:ascii="仿宋" w:hAnsi="仿宋" w:eastAsia="仿宋" w:cs="仿宋"/>
          <w:bCs/>
          <w:kern w:val="2"/>
          <w:sz w:val="24"/>
          <w:szCs w:val="24"/>
        </w:rPr>
      </w:pPr>
      <w:r>
        <w:rPr>
          <w:rFonts w:hint="eastAsia" w:ascii="仿宋" w:hAnsi="仿宋" w:eastAsia="仿宋" w:cs="仿宋"/>
          <w:bCs/>
          <w:kern w:val="2"/>
          <w:sz w:val="24"/>
          <w:szCs w:val="24"/>
        </w:rPr>
        <w:t>（一）服务地点：采购人指定地点。</w:t>
      </w:r>
    </w:p>
    <w:p w14:paraId="2FD88F33">
      <w:pPr>
        <w:spacing w:line="360" w:lineRule="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rPr>
        <w:t>（二）</w:t>
      </w:r>
      <w:r>
        <w:rPr>
          <w:rFonts w:hint="eastAsia" w:ascii="仿宋" w:hAnsi="仿宋" w:eastAsia="仿宋" w:cs="仿宋"/>
          <w:bCs/>
          <w:kern w:val="2"/>
          <w:sz w:val="24"/>
          <w:szCs w:val="24"/>
          <w:lang w:val="en-US" w:eastAsia="zh-CN"/>
        </w:rPr>
        <w:t>服务期限：三年（合同一年一签）。</w:t>
      </w:r>
    </w:p>
    <w:p w14:paraId="61A14E2B">
      <w:pPr>
        <w:spacing w:line="360" w:lineRule="auto"/>
        <w:rPr>
          <w:rFonts w:hint="eastAsia" w:ascii="仿宋" w:hAnsi="仿宋" w:eastAsia="仿宋" w:cs="仿宋"/>
          <w:bCs/>
          <w:kern w:val="2"/>
          <w:sz w:val="24"/>
          <w:szCs w:val="24"/>
        </w:rPr>
      </w:pP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三</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rPr>
        <w:t>履行合同的时间、地点及方式：按采购人要求，所需</w:t>
      </w:r>
      <w:r>
        <w:rPr>
          <w:rFonts w:hint="eastAsia" w:ascii="仿宋" w:hAnsi="仿宋" w:eastAsia="仿宋" w:cs="仿宋"/>
          <w:bCs/>
          <w:kern w:val="2"/>
          <w:sz w:val="24"/>
          <w:szCs w:val="24"/>
          <w:lang w:val="en-US" w:eastAsia="zh-CN"/>
        </w:rPr>
        <w:t>试剂</w:t>
      </w:r>
      <w:r>
        <w:rPr>
          <w:rFonts w:hint="eastAsia" w:ascii="仿宋" w:hAnsi="仿宋" w:eastAsia="仿宋" w:cs="仿宋"/>
          <w:bCs/>
          <w:kern w:val="2"/>
          <w:sz w:val="24"/>
          <w:szCs w:val="24"/>
        </w:rPr>
        <w:t>耗材在接到采购人订单通知后一周内送达。</w:t>
      </w:r>
    </w:p>
    <w:p w14:paraId="66B2B2A5">
      <w:pPr>
        <w:spacing w:line="360" w:lineRule="auto"/>
        <w:rPr>
          <w:rFonts w:hint="eastAsia" w:ascii="仿宋" w:hAnsi="仿宋" w:eastAsia="仿宋" w:cs="仿宋"/>
          <w:b/>
          <w:bCs/>
          <w:kern w:val="2"/>
          <w:sz w:val="24"/>
          <w:szCs w:val="24"/>
        </w:rPr>
      </w:pPr>
      <w:r>
        <w:rPr>
          <w:rFonts w:hint="eastAsia" w:ascii="仿宋" w:hAnsi="仿宋" w:eastAsia="仿宋" w:cs="仿宋"/>
          <w:bCs/>
          <w:kern w:val="2"/>
          <w:sz w:val="24"/>
          <w:szCs w:val="24"/>
        </w:rPr>
        <w:t>（</w:t>
      </w:r>
      <w:r>
        <w:rPr>
          <w:rFonts w:hint="eastAsia" w:ascii="仿宋" w:hAnsi="仿宋" w:eastAsia="仿宋" w:cs="仿宋"/>
          <w:bCs/>
          <w:kern w:val="2"/>
          <w:sz w:val="24"/>
          <w:szCs w:val="24"/>
          <w:lang w:val="en-US" w:eastAsia="zh-CN"/>
        </w:rPr>
        <w:t>四</w:t>
      </w:r>
      <w:r>
        <w:rPr>
          <w:rFonts w:hint="eastAsia" w:ascii="仿宋" w:hAnsi="仿宋" w:eastAsia="仿宋" w:cs="仿宋"/>
          <w:bCs/>
          <w:kern w:val="2"/>
          <w:sz w:val="24"/>
          <w:szCs w:val="24"/>
        </w:rPr>
        <w:t>）供应商应确保所供货产品具有合格证书，符合挂网规定且拥有相应销售资格，在供货过程中若发现供应商有不守信用、以次充好或其它违规行为，由采购人提出警告，情节严重的，采购人将立即终止采购合同；凡有不守信用、未按采购人实际需求量供货、以次充好或其它违规行为的供应商经查证属实的将一律列入黑名单并终止采购合同。</w:t>
      </w:r>
      <w:r>
        <w:rPr>
          <w:rFonts w:hint="eastAsia" w:ascii="仿宋" w:hAnsi="仿宋" w:eastAsia="仿宋" w:cs="仿宋"/>
          <w:b/>
          <w:bCs/>
          <w:kern w:val="2"/>
          <w:sz w:val="24"/>
          <w:szCs w:val="24"/>
        </w:rPr>
        <w:t>（供应商须提供相关承诺函原件）</w:t>
      </w:r>
    </w:p>
    <w:p w14:paraId="6AF0482C">
      <w:pPr>
        <w:spacing w:line="360" w:lineRule="auto"/>
        <w:rPr>
          <w:rFonts w:hint="eastAsia"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（五）</w:t>
      </w:r>
      <w:r>
        <w:rPr>
          <w:rFonts w:hint="eastAsia" w:ascii="仿宋" w:hAnsi="仿宋" w:eastAsia="仿宋" w:cs="仿宋"/>
          <w:bCs/>
          <w:kern w:val="2"/>
          <w:sz w:val="24"/>
          <w:szCs w:val="24"/>
        </w:rPr>
        <w:t>签订合同后有1-3月使用观察期，观察期期间由</w:t>
      </w:r>
      <w:r>
        <w:rPr>
          <w:rFonts w:hint="eastAsia" w:ascii="仿宋" w:hAnsi="仿宋" w:eastAsia="仿宋" w:cs="仿宋"/>
          <w:bCs/>
          <w:kern w:val="2"/>
          <w:sz w:val="24"/>
          <w:szCs w:val="24"/>
          <w:lang w:val="en-US" w:eastAsia="zh-CN"/>
        </w:rPr>
        <w:t>管理科室</w:t>
      </w:r>
      <w:r>
        <w:rPr>
          <w:rFonts w:hint="eastAsia" w:ascii="仿宋" w:hAnsi="仿宋" w:eastAsia="仿宋" w:cs="仿宋"/>
          <w:bCs/>
          <w:kern w:val="2"/>
          <w:sz w:val="24"/>
          <w:szCs w:val="24"/>
        </w:rPr>
        <w:t>与</w:t>
      </w:r>
      <w:r>
        <w:rPr>
          <w:rFonts w:hint="eastAsia" w:ascii="仿宋" w:hAnsi="仿宋" w:eastAsia="仿宋" w:cs="仿宋"/>
          <w:bCs/>
          <w:kern w:val="2"/>
          <w:sz w:val="24"/>
          <w:szCs w:val="24"/>
          <w:lang w:val="en-US" w:eastAsia="zh-CN"/>
        </w:rPr>
        <w:t>产品所使用</w:t>
      </w:r>
      <w:r>
        <w:rPr>
          <w:rFonts w:hint="eastAsia" w:ascii="仿宋" w:hAnsi="仿宋" w:eastAsia="仿宋" w:cs="仿宋"/>
          <w:bCs/>
          <w:kern w:val="2"/>
          <w:sz w:val="24"/>
          <w:szCs w:val="24"/>
        </w:rPr>
        <w:t>科室对</w:t>
      </w:r>
      <w:r>
        <w:rPr>
          <w:rFonts w:hint="eastAsia" w:ascii="仿宋" w:hAnsi="仿宋" w:eastAsia="仿宋" w:cs="仿宋"/>
          <w:bCs/>
          <w:kern w:val="2"/>
          <w:sz w:val="24"/>
          <w:szCs w:val="24"/>
          <w:lang w:val="en-US" w:eastAsia="zh-CN"/>
        </w:rPr>
        <w:t>产品</w:t>
      </w:r>
      <w:r>
        <w:rPr>
          <w:rFonts w:hint="eastAsia" w:ascii="仿宋" w:hAnsi="仿宋" w:eastAsia="仿宋" w:cs="仿宋"/>
          <w:bCs/>
          <w:kern w:val="2"/>
          <w:sz w:val="24"/>
          <w:szCs w:val="24"/>
        </w:rPr>
        <w:t>质量、服务作出评价</w:t>
      </w:r>
      <w:r>
        <w:rPr>
          <w:rFonts w:hint="eastAsia" w:ascii="仿宋" w:hAnsi="仿宋" w:eastAsia="仿宋" w:cs="仿宋"/>
          <w:bCs/>
          <w:kern w:val="2"/>
          <w:sz w:val="24"/>
          <w:szCs w:val="24"/>
          <w:lang w:eastAsia="zh-CN"/>
        </w:rPr>
        <w:t>，不符合采购需求的，需要及时与需求方沟通,进行调整和修改。</w:t>
      </w:r>
    </w:p>
    <w:p w14:paraId="719C299E">
      <w:pPr>
        <w:spacing w:line="360" w:lineRule="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（六）供应商提供的检验试剂及耗材必须与采购人设备相适配，满足采购人的</w:t>
      </w:r>
      <w:r>
        <w:rPr>
          <w:rFonts w:hint="eastAsia" w:ascii="仿宋" w:hAnsi="仿宋" w:eastAsia="仿宋" w:cs="仿宋"/>
          <w:bCs/>
          <w:kern w:val="2"/>
          <w:sz w:val="24"/>
          <w:szCs w:val="24"/>
        </w:rPr>
        <w:t>使用需求</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如产品需要进行冷链配送，则供应商需提供专业的冷链配送，保证产品质量。</w:t>
      </w:r>
    </w:p>
    <w:p w14:paraId="3FD80351">
      <w:pPr>
        <w:spacing w:line="360" w:lineRule="auto"/>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rPr>
        <w:t>（七）</w:t>
      </w:r>
      <w:r>
        <w:rPr>
          <w:rFonts w:hint="eastAsia" w:ascii="仿宋" w:hAnsi="仿宋" w:eastAsia="仿宋" w:cs="仿宋"/>
          <w:bCs/>
          <w:kern w:val="2"/>
          <w:sz w:val="24"/>
          <w:szCs w:val="24"/>
        </w:rPr>
        <w:t>供应商在服务上必须满足</w:t>
      </w:r>
      <w:r>
        <w:rPr>
          <w:rFonts w:hint="eastAsia" w:ascii="仿宋" w:hAnsi="仿宋" w:eastAsia="仿宋" w:cs="仿宋"/>
          <w:bCs/>
          <w:kern w:val="2"/>
          <w:sz w:val="24"/>
          <w:szCs w:val="24"/>
          <w:lang w:val="en-US" w:eastAsia="zh-CN"/>
        </w:rPr>
        <w:t>采购人</w:t>
      </w:r>
      <w:r>
        <w:rPr>
          <w:rFonts w:hint="eastAsia" w:ascii="仿宋" w:hAnsi="仿宋" w:eastAsia="仿宋" w:cs="仿宋"/>
          <w:bCs/>
          <w:kern w:val="2"/>
          <w:sz w:val="24"/>
          <w:szCs w:val="24"/>
        </w:rPr>
        <w:t>使用需求；使用耗材在运输及使用过程中（非医务人员原因）产生的质量问题均应由供应商免费更换。</w:t>
      </w:r>
    </w:p>
    <w:p w14:paraId="3FDF250C">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八</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rPr>
        <w:t>提供</w:t>
      </w:r>
      <w:r>
        <w:rPr>
          <w:rFonts w:hint="eastAsia" w:ascii="仿宋" w:hAnsi="仿宋" w:eastAsia="仿宋" w:cs="仿宋"/>
          <w:bCs/>
          <w:kern w:val="2"/>
          <w:sz w:val="24"/>
          <w:szCs w:val="24"/>
          <w:lang w:val="en-US" w:eastAsia="zh-CN"/>
        </w:rPr>
        <w:t>售后</w:t>
      </w:r>
      <w:r>
        <w:rPr>
          <w:rFonts w:hint="eastAsia" w:ascii="仿宋" w:hAnsi="仿宋" w:eastAsia="仿宋" w:cs="仿宋"/>
          <w:bCs/>
          <w:kern w:val="2"/>
          <w:sz w:val="24"/>
          <w:szCs w:val="24"/>
        </w:rPr>
        <w:t>服务电话，2小时内响应，不能通过</w:t>
      </w:r>
      <w:r>
        <w:rPr>
          <w:rFonts w:hint="eastAsia" w:ascii="仿宋" w:hAnsi="仿宋" w:eastAsia="仿宋" w:cs="仿宋"/>
          <w:bCs/>
          <w:color w:val="FF0000"/>
          <w:kern w:val="2"/>
          <w:sz w:val="24"/>
          <w:szCs w:val="24"/>
          <w:lang w:val="en-US" w:eastAsia="zh-CN"/>
        </w:rPr>
        <w:t>远程</w:t>
      </w:r>
      <w:r>
        <w:rPr>
          <w:rFonts w:hint="eastAsia" w:ascii="仿宋" w:hAnsi="仿宋" w:eastAsia="仿宋" w:cs="仿宋"/>
          <w:bCs/>
          <w:kern w:val="2"/>
          <w:sz w:val="24"/>
          <w:szCs w:val="24"/>
        </w:rPr>
        <w:t>解决的问题应在24小时内到达现场，24小时内未解决问题，将提供备用货物，不影响采购人正常使用。</w:t>
      </w:r>
    </w:p>
    <w:p w14:paraId="031EE93C">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（九）报价要求：本项目按下浮比例报价</w:t>
      </w:r>
      <w:r>
        <w:rPr>
          <w:rFonts w:hint="eastAsia" w:ascii="仿宋" w:hAnsi="仿宋" w:eastAsia="仿宋" w:cs="仿宋"/>
          <w:b w:val="0"/>
          <w:bCs w:val="0"/>
          <w:color w:val="FF0000"/>
          <w:sz w:val="24"/>
          <w:szCs w:val="24"/>
          <w:lang w:val="en-US" w:eastAsia="zh-CN"/>
        </w:rPr>
        <w:t>（下浮比例报价只作用于非挂网品种）</w:t>
      </w:r>
      <w:r>
        <w:rPr>
          <w:rFonts w:hint="eastAsia" w:ascii="仿宋" w:hAnsi="仿宋" w:eastAsia="仿宋" w:cs="仿宋"/>
          <w:b w:val="0"/>
          <w:bCs w:val="0"/>
          <w:sz w:val="24"/>
          <w:szCs w:val="24"/>
          <w:lang w:val="en-US" w:eastAsia="zh-CN"/>
        </w:rPr>
        <w:t>，按上浮比例报价为无效报价。报价含本项目的所有费用，即包括但不限于现场勘察费、调研费、资料费、设计费、会议费、劳务费、专家咨询费、车旅费、打印费、培训费等和采购文件规定在内的其它费用，即包干价，采购人不再另行支付其他任何费用。</w:t>
      </w:r>
    </w:p>
    <w:p w14:paraId="76DE301B">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（十）结算要求：</w:t>
      </w:r>
    </w:p>
    <w:p w14:paraId="6D9A65E9">
      <w:pPr>
        <w:spacing w:line="360" w:lineRule="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1.</w:t>
      </w:r>
      <w:r>
        <w:rPr>
          <w:rFonts w:hint="eastAsia" w:ascii="仿宋" w:hAnsi="仿宋" w:eastAsia="仿宋" w:cs="仿宋"/>
          <w:bCs/>
          <w:kern w:val="2"/>
          <w:sz w:val="24"/>
          <w:szCs w:val="24"/>
        </w:rPr>
        <w:t>每月按采购人实际需求量进行供货，</w:t>
      </w:r>
      <w:r>
        <w:rPr>
          <w:rFonts w:hint="eastAsia" w:ascii="仿宋" w:hAnsi="仿宋" w:eastAsia="仿宋" w:cs="仿宋"/>
          <w:bCs/>
          <w:kern w:val="2"/>
          <w:sz w:val="24"/>
          <w:szCs w:val="24"/>
          <w:lang w:val="en-US" w:eastAsia="zh-CN"/>
        </w:rPr>
        <w:t>按实结算。</w:t>
      </w:r>
    </w:p>
    <w:p w14:paraId="2B13405D">
      <w:pPr>
        <w:spacing w:line="360" w:lineRule="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2.如后续配送中有产品纳入</w:t>
      </w:r>
      <w:r>
        <w:rPr>
          <w:rFonts w:hint="eastAsia" w:ascii="仿宋" w:hAnsi="仿宋" w:eastAsia="仿宋" w:cs="仿宋"/>
          <w:bCs/>
          <w:kern w:val="2"/>
          <w:sz w:val="24"/>
          <w:szCs w:val="24"/>
        </w:rPr>
        <w:t>四川省药械集中采购及医药价格监管平台</w:t>
      </w:r>
      <w:r>
        <w:rPr>
          <w:rFonts w:hint="eastAsia" w:ascii="仿宋" w:hAnsi="仿宋" w:eastAsia="仿宋" w:cs="仿宋"/>
          <w:bCs/>
          <w:kern w:val="2"/>
          <w:sz w:val="24"/>
          <w:szCs w:val="24"/>
          <w:lang w:val="en-US" w:eastAsia="zh-CN"/>
        </w:rPr>
        <w:t>进行挂网，则该产品的结算以</w:t>
      </w:r>
      <w:r>
        <w:rPr>
          <w:rFonts w:hint="eastAsia" w:ascii="仿宋" w:hAnsi="仿宋" w:eastAsia="仿宋" w:cs="仿宋"/>
          <w:bCs/>
          <w:kern w:val="2"/>
          <w:sz w:val="24"/>
          <w:szCs w:val="24"/>
        </w:rPr>
        <w:t>四川省药械集中采购及医药价格监管平台当月全省最低价为准</w:t>
      </w:r>
      <w:r>
        <w:rPr>
          <w:rFonts w:hint="eastAsia" w:ascii="仿宋" w:hAnsi="仿宋" w:eastAsia="仿宋" w:cs="仿宋"/>
          <w:bCs/>
          <w:kern w:val="2"/>
          <w:sz w:val="24"/>
          <w:szCs w:val="24"/>
          <w:lang w:eastAsia="zh-CN"/>
        </w:rPr>
        <w:t>。</w:t>
      </w:r>
    </w:p>
    <w:p w14:paraId="65C89042">
      <w:pPr>
        <w:spacing w:line="360" w:lineRule="auto"/>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rPr>
        <w:t>3.</w:t>
      </w:r>
      <w:r>
        <w:rPr>
          <w:rFonts w:hint="eastAsia" w:ascii="仿宋" w:hAnsi="仿宋" w:eastAsia="仿宋" w:cs="仿宋"/>
          <w:bCs/>
          <w:kern w:val="2"/>
          <w:sz w:val="24"/>
          <w:szCs w:val="24"/>
          <w:lang w:eastAsia="zh-CN"/>
        </w:rPr>
        <w:t>成交</w:t>
      </w:r>
      <w:r>
        <w:rPr>
          <w:rFonts w:hint="eastAsia" w:ascii="仿宋" w:hAnsi="仿宋" w:eastAsia="仿宋" w:cs="仿宋"/>
          <w:bCs/>
          <w:kern w:val="2"/>
          <w:sz w:val="24"/>
          <w:szCs w:val="24"/>
        </w:rPr>
        <w:t>人在采购人支付货款前，应向采购人提交对已交货产品的发票和有关单据，否则，采购人可顺延付款且不承担任何责任，</w:t>
      </w:r>
      <w:r>
        <w:rPr>
          <w:rFonts w:hint="eastAsia" w:ascii="仿宋" w:hAnsi="仿宋" w:eastAsia="仿宋" w:cs="仿宋"/>
          <w:bCs/>
          <w:kern w:val="2"/>
          <w:sz w:val="24"/>
          <w:szCs w:val="24"/>
          <w:lang w:eastAsia="zh-CN"/>
        </w:rPr>
        <w:t>成交</w:t>
      </w:r>
      <w:r>
        <w:rPr>
          <w:rFonts w:hint="eastAsia" w:ascii="仿宋" w:hAnsi="仿宋" w:eastAsia="仿宋" w:cs="仿宋"/>
          <w:bCs/>
          <w:kern w:val="2"/>
          <w:sz w:val="24"/>
          <w:szCs w:val="24"/>
        </w:rPr>
        <w:t>人应继续履行合同。</w:t>
      </w:r>
    </w:p>
    <w:p w14:paraId="3831D984">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十一</w:t>
      </w:r>
      <w:r>
        <w:rPr>
          <w:rFonts w:hint="eastAsia" w:ascii="仿宋" w:hAnsi="仿宋" w:eastAsia="仿宋" w:cs="仿宋"/>
          <w:b w:val="0"/>
          <w:bCs w:val="0"/>
          <w:sz w:val="24"/>
          <w:szCs w:val="24"/>
          <w:lang w:eastAsia="zh-CN"/>
        </w:rPr>
        <w:t>）</w:t>
      </w:r>
      <w:r>
        <w:rPr>
          <w:rFonts w:hint="eastAsia" w:ascii="仿宋" w:hAnsi="仿宋" w:eastAsia="仿宋" w:cs="仿宋"/>
          <w:sz w:val="24"/>
          <w:szCs w:val="24"/>
          <w:highlight w:val="none"/>
        </w:rPr>
        <w:t>验收标准：</w:t>
      </w:r>
      <w:r>
        <w:rPr>
          <w:rFonts w:hint="eastAsia" w:ascii="仿宋" w:hAnsi="仿宋" w:eastAsia="仿宋" w:cs="仿宋"/>
          <w:sz w:val="24"/>
          <w:szCs w:val="24"/>
          <w:highlight w:val="none"/>
          <w:lang w:val="en-US" w:eastAsia="zh-CN"/>
        </w:rPr>
        <w:t>参照</w:t>
      </w:r>
      <w:r>
        <w:rPr>
          <w:rFonts w:hint="eastAsia" w:ascii="仿宋" w:hAnsi="仿宋" w:eastAsia="仿宋" w:cs="仿宋"/>
          <w:sz w:val="24"/>
          <w:szCs w:val="24"/>
          <w:highlight w:val="none"/>
        </w:rPr>
        <w:t>《财政部关于进一步加强政府采购需求和履约验收管理的指导意见》（财库〔2016〕205 号）的要求进行验收。</w:t>
      </w:r>
    </w:p>
    <w:p w14:paraId="611DA990">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（十二）验收标准和方法：</w:t>
      </w:r>
    </w:p>
    <w:p w14:paraId="45B09454">
      <w:pPr>
        <w:adjustRightInd w:val="0"/>
        <w:snapToGrid w:val="0"/>
        <w:spacing w:line="360" w:lineRule="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1</w:t>
      </w:r>
      <w:r>
        <w:rPr>
          <w:rFonts w:hint="eastAsia" w:ascii="仿宋" w:hAnsi="仿宋" w:eastAsia="仿宋" w:cs="仿宋"/>
          <w:color w:val="000000"/>
          <w:kern w:val="2"/>
          <w:sz w:val="24"/>
          <w:szCs w:val="24"/>
          <w:lang w:val="en-US" w:eastAsia="zh-CN"/>
        </w:rPr>
        <w:t>.</w:t>
      </w:r>
      <w:r>
        <w:rPr>
          <w:rFonts w:hint="eastAsia" w:ascii="仿宋" w:hAnsi="仿宋" w:eastAsia="仿宋" w:cs="仿宋"/>
          <w:color w:val="000000"/>
          <w:kern w:val="2"/>
          <w:sz w:val="24"/>
          <w:szCs w:val="24"/>
        </w:rPr>
        <w:t>耗材供货完毕后当日内当面验收。</w:t>
      </w:r>
    </w:p>
    <w:p w14:paraId="52CA0C4B">
      <w:pPr>
        <w:adjustRightInd w:val="0"/>
        <w:snapToGrid w:val="0"/>
        <w:spacing w:line="360" w:lineRule="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2.验收标准：按国家有关规定以及</w:t>
      </w:r>
      <w:r>
        <w:rPr>
          <w:rFonts w:hint="eastAsia" w:ascii="仿宋" w:hAnsi="仿宋" w:eastAsia="仿宋" w:cs="仿宋"/>
          <w:color w:val="000000"/>
          <w:kern w:val="2"/>
          <w:sz w:val="24"/>
          <w:szCs w:val="24"/>
          <w:lang w:val="en-US" w:eastAsia="zh-CN"/>
        </w:rPr>
        <w:t>采购</w:t>
      </w:r>
      <w:r>
        <w:rPr>
          <w:rFonts w:hint="eastAsia" w:ascii="仿宋" w:hAnsi="仿宋" w:eastAsia="仿宋" w:cs="仿宋"/>
          <w:color w:val="000000"/>
          <w:kern w:val="2"/>
          <w:sz w:val="24"/>
          <w:szCs w:val="24"/>
        </w:rPr>
        <w:t>文件的质量要求和技术指标、</w:t>
      </w:r>
      <w:r>
        <w:rPr>
          <w:rFonts w:hint="eastAsia" w:ascii="仿宋" w:hAnsi="仿宋" w:eastAsia="仿宋" w:cs="仿宋"/>
          <w:color w:val="000000"/>
          <w:kern w:val="2"/>
          <w:sz w:val="24"/>
          <w:szCs w:val="24"/>
          <w:lang w:val="en-US" w:eastAsia="zh-CN"/>
        </w:rPr>
        <w:t>响应</w:t>
      </w:r>
      <w:r>
        <w:rPr>
          <w:rFonts w:hint="eastAsia" w:ascii="仿宋" w:hAnsi="仿宋" w:eastAsia="仿宋" w:cs="仿宋"/>
          <w:color w:val="000000"/>
          <w:kern w:val="2"/>
          <w:sz w:val="24"/>
          <w:szCs w:val="24"/>
        </w:rPr>
        <w:t>文件及承诺与合同约定标准进行验收；采购人及</w:t>
      </w:r>
      <w:r>
        <w:rPr>
          <w:rFonts w:hint="eastAsia" w:ascii="仿宋" w:hAnsi="仿宋" w:eastAsia="仿宋" w:cs="仿宋"/>
          <w:color w:val="000000"/>
          <w:kern w:val="2"/>
          <w:sz w:val="24"/>
          <w:szCs w:val="24"/>
          <w:lang w:val="en-US" w:eastAsia="zh-CN"/>
        </w:rPr>
        <w:t>供应商</w:t>
      </w:r>
      <w:r>
        <w:rPr>
          <w:rFonts w:hint="eastAsia" w:ascii="仿宋" w:hAnsi="仿宋" w:eastAsia="仿宋" w:cs="仿宋"/>
          <w:color w:val="000000"/>
          <w:kern w:val="2"/>
          <w:sz w:val="24"/>
          <w:szCs w:val="24"/>
        </w:rPr>
        <w:t>双方如对质量要求和技术指标的约定标准有相互抵触或异议的事项，由采购人在</w:t>
      </w:r>
      <w:r>
        <w:rPr>
          <w:rFonts w:hint="eastAsia" w:ascii="仿宋" w:hAnsi="仿宋" w:eastAsia="仿宋" w:cs="仿宋"/>
          <w:color w:val="000000"/>
          <w:kern w:val="2"/>
          <w:sz w:val="24"/>
          <w:szCs w:val="24"/>
          <w:lang w:val="en-US" w:eastAsia="zh-CN"/>
        </w:rPr>
        <w:t>采购</w:t>
      </w:r>
      <w:r>
        <w:rPr>
          <w:rFonts w:hint="eastAsia" w:ascii="仿宋" w:hAnsi="仿宋" w:eastAsia="仿宋" w:cs="仿宋"/>
          <w:color w:val="000000"/>
          <w:kern w:val="2"/>
          <w:sz w:val="24"/>
          <w:szCs w:val="24"/>
        </w:rPr>
        <w:t>文件、</w:t>
      </w:r>
      <w:r>
        <w:rPr>
          <w:rFonts w:hint="eastAsia" w:ascii="仿宋" w:hAnsi="仿宋" w:eastAsia="仿宋" w:cs="仿宋"/>
          <w:color w:val="000000"/>
          <w:kern w:val="2"/>
          <w:sz w:val="24"/>
          <w:szCs w:val="24"/>
          <w:lang w:val="en-US" w:eastAsia="zh-CN"/>
        </w:rPr>
        <w:t>响应</w:t>
      </w:r>
      <w:r>
        <w:rPr>
          <w:rFonts w:hint="eastAsia" w:ascii="仿宋" w:hAnsi="仿宋" w:eastAsia="仿宋" w:cs="仿宋"/>
          <w:color w:val="000000"/>
          <w:kern w:val="2"/>
          <w:sz w:val="24"/>
          <w:szCs w:val="24"/>
        </w:rPr>
        <w:t>文件中按质量要求和技术指标比较优胜的原则确定该项的约定标准进行验收。</w:t>
      </w:r>
    </w:p>
    <w:p w14:paraId="501770B2">
      <w:pPr>
        <w:adjustRightInd w:val="0"/>
        <w:snapToGrid w:val="0"/>
        <w:spacing w:line="360" w:lineRule="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3.验收时如发现所交付的耗材有短装、次品、损坏或其它不符合标准及合同规定之情形者，采购人应做出详尽的现场记录，或由采购人及</w:t>
      </w:r>
      <w:r>
        <w:rPr>
          <w:rFonts w:hint="eastAsia" w:ascii="仿宋" w:hAnsi="仿宋" w:eastAsia="仿宋" w:cs="仿宋"/>
          <w:color w:val="000000"/>
          <w:kern w:val="2"/>
          <w:sz w:val="24"/>
          <w:szCs w:val="24"/>
          <w:lang w:val="en-US" w:eastAsia="zh-CN"/>
        </w:rPr>
        <w:t>供应商</w:t>
      </w:r>
      <w:r>
        <w:rPr>
          <w:rFonts w:hint="eastAsia" w:ascii="仿宋" w:hAnsi="仿宋" w:eastAsia="仿宋" w:cs="仿宋"/>
          <w:color w:val="000000"/>
          <w:kern w:val="2"/>
          <w:sz w:val="24"/>
          <w:szCs w:val="24"/>
        </w:rPr>
        <w:t>双方签署备忘录，此现场记录或备忘录可用作补充、缺失和更换损坏部件的有效证据，由此产生的时间延误与有关费用由供应商承担，验收期限相应顺延。</w:t>
      </w:r>
    </w:p>
    <w:p w14:paraId="3B4E439C">
      <w:pPr>
        <w:adjustRightInd w:val="0"/>
        <w:snapToGrid w:val="0"/>
        <w:spacing w:line="360" w:lineRule="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4.耗材供货后30日内，采购人无故不进行验收工作并已使用耗材的，视同已供货完成并验收合格。</w:t>
      </w:r>
    </w:p>
    <w:p w14:paraId="730E6C5D">
      <w:pPr>
        <w:widowControl/>
        <w:spacing w:line="360" w:lineRule="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5</w:t>
      </w:r>
      <w:r>
        <w:rPr>
          <w:rFonts w:hint="eastAsia" w:ascii="仿宋" w:hAnsi="仿宋" w:eastAsia="仿宋" w:cs="仿宋"/>
          <w:color w:val="000000"/>
          <w:kern w:val="2"/>
          <w:sz w:val="24"/>
          <w:szCs w:val="24"/>
        </w:rPr>
        <w:t>.如同一耗材、同一质量问题经</w:t>
      </w:r>
      <w:r>
        <w:rPr>
          <w:rFonts w:hint="eastAsia" w:ascii="仿宋" w:hAnsi="仿宋" w:eastAsia="仿宋" w:cs="仿宋"/>
          <w:color w:val="000000"/>
          <w:kern w:val="2"/>
          <w:sz w:val="24"/>
          <w:szCs w:val="24"/>
          <w:lang w:val="en-US" w:eastAsia="zh-CN"/>
        </w:rPr>
        <w:t>供应商</w:t>
      </w:r>
      <w:r>
        <w:rPr>
          <w:rFonts w:hint="eastAsia" w:ascii="仿宋" w:hAnsi="仿宋" w:eastAsia="仿宋" w:cs="仿宋"/>
          <w:color w:val="000000"/>
          <w:kern w:val="2"/>
          <w:sz w:val="24"/>
          <w:szCs w:val="24"/>
        </w:rPr>
        <w:t>三次供货仍不能达到合同约定的质量标准，采购人有权退货，并视作</w:t>
      </w:r>
      <w:r>
        <w:rPr>
          <w:rFonts w:hint="eastAsia" w:ascii="仿宋" w:hAnsi="仿宋" w:eastAsia="仿宋" w:cs="仿宋"/>
          <w:color w:val="000000"/>
          <w:kern w:val="2"/>
          <w:sz w:val="24"/>
          <w:szCs w:val="24"/>
          <w:lang w:val="en-US" w:eastAsia="zh-CN"/>
        </w:rPr>
        <w:t>供应商</w:t>
      </w:r>
      <w:r>
        <w:rPr>
          <w:rFonts w:hint="eastAsia" w:ascii="仿宋" w:hAnsi="仿宋" w:eastAsia="仿宋" w:cs="仿宋"/>
          <w:color w:val="000000"/>
          <w:kern w:val="2"/>
          <w:sz w:val="24"/>
          <w:szCs w:val="24"/>
        </w:rPr>
        <w:t>不能交付耗材而须支付违约赔偿金给采购人，采购人还可依法追究</w:t>
      </w:r>
      <w:r>
        <w:rPr>
          <w:rFonts w:hint="eastAsia" w:ascii="仿宋" w:hAnsi="仿宋" w:eastAsia="仿宋" w:cs="仿宋"/>
          <w:color w:val="000000"/>
          <w:kern w:val="2"/>
          <w:sz w:val="24"/>
          <w:szCs w:val="24"/>
          <w:lang w:val="en-US" w:eastAsia="zh-CN"/>
        </w:rPr>
        <w:t>供应商</w:t>
      </w:r>
      <w:r>
        <w:rPr>
          <w:rFonts w:hint="eastAsia" w:ascii="仿宋" w:hAnsi="仿宋" w:eastAsia="仿宋" w:cs="仿宋"/>
          <w:color w:val="000000"/>
          <w:kern w:val="2"/>
          <w:sz w:val="24"/>
          <w:szCs w:val="24"/>
        </w:rPr>
        <w:t>的违约责任。</w:t>
      </w:r>
    </w:p>
    <w:p w14:paraId="2F59C18B">
      <w:pPr>
        <w:adjustRightInd w:val="0"/>
        <w:snapToGrid w:val="0"/>
        <w:spacing w:line="360" w:lineRule="auto"/>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eastAsia="zh-CN"/>
        </w:rPr>
        <w:t>（十三）</w:t>
      </w:r>
      <w:r>
        <w:rPr>
          <w:rFonts w:hint="eastAsia" w:ascii="仿宋" w:hAnsi="仿宋" w:eastAsia="仿宋" w:cs="仿宋"/>
          <w:color w:val="FF0000"/>
          <w:kern w:val="2"/>
          <w:sz w:val="24"/>
          <w:szCs w:val="24"/>
          <w:lang w:eastAsia="zh-CN"/>
        </w:rPr>
        <w:t>挂网品种采购价格不得高于联动参考价、本省最高参考价、本机构发生实际采购交易以来的最低采购价、该产品上月末全省医药机构采购平均价中的任一价格。</w:t>
      </w:r>
    </w:p>
    <w:p w14:paraId="73328DDD">
      <w:pPr>
        <w:rPr>
          <w:rFonts w:hint="eastAsia" w:ascii="黑体" w:hAnsi="黑体" w:eastAsia="黑体" w:cs="黑体"/>
          <w:lang w:eastAsia="zh-CN"/>
        </w:rPr>
      </w:pPr>
      <w:r>
        <w:rPr>
          <w:rFonts w:hint="eastAsia" w:ascii="仿宋" w:hAnsi="仿宋" w:eastAsia="仿宋" w:cs="仿宋"/>
          <w:color w:val="000000"/>
          <w:kern w:val="2"/>
          <w:sz w:val="24"/>
          <w:szCs w:val="24"/>
          <w:lang w:eastAsia="zh-CN"/>
        </w:rPr>
        <w:t>（十四）非挂网品种价格证明需提供该厂家该品种2023年以来的2张以上税票为佐证。非挂网产品如遇挂网需调整价格不得高于联动参考价、</w:t>
      </w:r>
      <w:r>
        <w:rPr>
          <w:rFonts w:hint="eastAsia" w:ascii="仿宋" w:hAnsi="仿宋" w:eastAsia="仿宋" w:cs="仿宋"/>
          <w:color w:val="000000"/>
          <w:kern w:val="2"/>
          <w:sz w:val="24"/>
          <w:szCs w:val="24"/>
          <w:lang w:val="en-US" w:eastAsia="zh-CN"/>
        </w:rPr>
        <w:t>本</w:t>
      </w:r>
      <w:r>
        <w:rPr>
          <w:rFonts w:hint="eastAsia" w:ascii="仿宋" w:hAnsi="仿宋" w:eastAsia="仿宋" w:cs="仿宋"/>
          <w:color w:val="000000"/>
          <w:kern w:val="2"/>
          <w:sz w:val="24"/>
          <w:szCs w:val="24"/>
          <w:lang w:eastAsia="zh-CN"/>
        </w:rPr>
        <w:t>省最高参考价、本机构发生实际采购交易以来的最低采购价、该产品上月末全省医药机构采购平均价中的任一价格。</w:t>
      </w: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7"/>
        <w:rPr>
          <w:rFonts w:hint="eastAsia" w:ascii="黑体" w:hAnsi="黑体" w:eastAsia="黑体" w:cs="黑体"/>
          <w:lang w:eastAsia="zh-CN"/>
        </w:rPr>
      </w:pPr>
    </w:p>
    <w:p w14:paraId="5335AE7A">
      <w:pPr>
        <w:pStyle w:val="6"/>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8"/>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4486"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70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6A170895">
            <w:pPr>
              <w:rPr>
                <w:rFonts w:hint="eastAsia" w:ascii="仿宋" w:hAnsi="仿宋" w:eastAsia="仿宋" w:cs="仿宋"/>
                <w:kern w:val="1"/>
                <w:sz w:val="32"/>
                <w:szCs w:val="32"/>
                <w:u w:val="single"/>
                <w:lang w:val="en-US" w:eastAsia="zh-CN"/>
              </w:rPr>
            </w:pPr>
            <w:r>
              <w:rPr>
                <w:rFonts w:hint="eastAsia" w:ascii="仿宋" w:hAnsi="仿宋" w:eastAsia="仿宋" w:cs="仿宋"/>
                <w:kern w:val="1"/>
                <w:sz w:val="32"/>
                <w:szCs w:val="32"/>
                <w:lang w:val="en-US" w:eastAsia="zh-CN"/>
              </w:rPr>
              <w:t>投标报价以院内用量较多的试剂（序号1、2、3、9）报价按比例进行计算,即：</w:t>
            </w:r>
            <w:r>
              <w:rPr>
                <w:rFonts w:hint="eastAsia" w:ascii="仿宋" w:hAnsi="仿宋" w:eastAsia="仿宋" w:cs="仿宋"/>
                <w:kern w:val="1"/>
                <w:sz w:val="32"/>
                <w:szCs w:val="32"/>
                <w:u w:val="single"/>
                <w:lang w:val="en-US" w:eastAsia="zh-CN"/>
              </w:rPr>
              <w:t>投标报价=序号1*10+序号2+序号3+序号9</w:t>
            </w:r>
          </w:p>
          <w:p w14:paraId="2525B7A8">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满足招标文件要求且投标价格最低的投标报价为评标基准价，其价格分为满分。其他供应商的价格分统一按照下列公式计算：投标报价得分=(评标基准价÷投标报价)×70%×100；（最低价基准法）</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center"/>
              <w:rPr>
                <w:rFonts w:hint="default" w:ascii="仿宋" w:hAnsi="仿宋" w:eastAsia="仿宋" w:cs="仿宋"/>
                <w:kern w:val="1"/>
                <w:sz w:val="32"/>
                <w:szCs w:val="32"/>
                <w:lang w:val="en-US"/>
              </w:rPr>
            </w:pPr>
            <w:r>
              <w:rPr>
                <w:rFonts w:hint="eastAsia" w:ascii="仿宋" w:hAnsi="仿宋" w:eastAsia="仿宋" w:cs="仿宋"/>
                <w:kern w:val="1"/>
                <w:sz w:val="32"/>
                <w:szCs w:val="32"/>
                <w:lang w:val="en-US" w:eastAsia="zh-CN"/>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3DF35E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依照投标产品的市场使用情况评定，提供同类医院业绩证明，一份业绩得5分；无不得分。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E1C8920">
            <w:pPr>
              <w:spacing w:line="320" w:lineRule="atLeast"/>
              <w:jc w:val="center"/>
              <w:rPr>
                <w:rFonts w:hint="eastAsia" w:ascii="仿宋" w:hAnsi="仿宋" w:eastAsia="仿宋" w:cs="仿宋"/>
                <w:sz w:val="32"/>
                <w:szCs w:val="32"/>
              </w:rPr>
            </w:pPr>
          </w:p>
          <w:p w14:paraId="05377DEB">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14:paraId="55B3AFD1">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098644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项目实施及售后服务方案包括但不限于①供货计划以投标文件为准。（包含但不限于产品出入库管理、配送流程）</w:t>
            </w:r>
          </w:p>
          <w:p w14:paraId="7A5D0C2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②产品质量保证措施、</w:t>
            </w:r>
          </w:p>
          <w:p w14:paraId="13E43ED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③退、换货处理方案、</w:t>
            </w:r>
          </w:p>
          <w:p w14:paraId="26D0B22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④售后服务人员配备及职责分工。</w:t>
            </w:r>
          </w:p>
          <w:p w14:paraId="4FC93A1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每项完整且合理得5分。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1878E5DF">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5F5EF57">
            <w:pPr>
              <w:spacing w:line="320" w:lineRule="atLeast"/>
              <w:jc w:val="center"/>
              <w:rPr>
                <w:rFonts w:hint="eastAsia" w:ascii="仿宋" w:hAnsi="仿宋" w:eastAsia="仿宋" w:cs="仿宋"/>
                <w:kern w:val="1"/>
                <w:sz w:val="32"/>
                <w:szCs w:val="32"/>
                <w:lang w:val="en-US" w:eastAsia="zh-CN"/>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21CF354">
            <w:pPr>
              <w:spacing w:line="320" w:lineRule="atLeast"/>
              <w:jc w:val="center"/>
              <w:rPr>
                <w:rFonts w:hint="eastAsia" w:ascii="仿宋" w:hAnsi="仿宋" w:eastAsia="仿宋" w:cs="仿宋"/>
                <w:sz w:val="32"/>
                <w:szCs w:val="32"/>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0FF070">
            <w:pPr>
              <w:rPr>
                <w:rFonts w:hint="eastAsia" w:ascii="仿宋" w:hAnsi="仿宋" w:eastAsia="仿宋" w:cs="仿宋"/>
                <w:kern w:val="1"/>
                <w:sz w:val="32"/>
                <w:szCs w:val="32"/>
                <w:lang w:val="en-US" w:eastAsia="zh-CN"/>
              </w:rPr>
            </w:pP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E3EAD2C">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66EA64">
            <w:pPr>
              <w:spacing w:line="320" w:lineRule="atLeast"/>
              <w:jc w:val="center"/>
              <w:rPr>
                <w:rFonts w:hint="eastAsia" w:ascii="仿宋" w:hAnsi="仿宋" w:eastAsia="仿宋" w:cs="仿宋"/>
                <w:sz w:val="32"/>
                <w:szCs w:val="32"/>
              </w:rPr>
            </w:pPr>
          </w:p>
        </w:tc>
      </w:tr>
    </w:tbl>
    <w:p w14:paraId="56A884EA">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934415"/>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C6F068F"/>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736A7A"/>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BC668A"/>
    <w:rsid w:val="2ED755ED"/>
    <w:rsid w:val="2EFF3B7B"/>
    <w:rsid w:val="2F2D5CF3"/>
    <w:rsid w:val="2FFD053A"/>
    <w:rsid w:val="305074F8"/>
    <w:rsid w:val="30567424"/>
    <w:rsid w:val="30A47F0F"/>
    <w:rsid w:val="31577691"/>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DB34A91"/>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9C6125"/>
    <w:rsid w:val="42C02DF3"/>
    <w:rsid w:val="42CD5B5D"/>
    <w:rsid w:val="43102EB4"/>
    <w:rsid w:val="431A22B8"/>
    <w:rsid w:val="439A1C32"/>
    <w:rsid w:val="43C05837"/>
    <w:rsid w:val="43EA5A8B"/>
    <w:rsid w:val="43FB4CE2"/>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89B138F"/>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0A4D82"/>
    <w:rsid w:val="6096215E"/>
    <w:rsid w:val="626070DF"/>
    <w:rsid w:val="62B86D17"/>
    <w:rsid w:val="62C824CA"/>
    <w:rsid w:val="6358284A"/>
    <w:rsid w:val="635F68CB"/>
    <w:rsid w:val="642A2386"/>
    <w:rsid w:val="64677320"/>
    <w:rsid w:val="653C0392"/>
    <w:rsid w:val="6586792A"/>
    <w:rsid w:val="65DD20B3"/>
    <w:rsid w:val="662C503A"/>
    <w:rsid w:val="66BB543F"/>
    <w:rsid w:val="66C47D68"/>
    <w:rsid w:val="66D22914"/>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0B095A"/>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DCE109B"/>
    <w:rsid w:val="7E163DF2"/>
    <w:rsid w:val="7E1D587C"/>
    <w:rsid w:val="7E1E62DD"/>
    <w:rsid w:val="7E220861"/>
    <w:rsid w:val="7E9A50CB"/>
    <w:rsid w:val="7EE2433D"/>
    <w:rsid w:val="7F185B02"/>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20"/>
    <w:qFormat/>
    <w:uiPriority w:val="0"/>
    <w:rPr>
      <w:rFonts w:ascii="Calibri" w:hAnsi="Calibri" w:cs="Calibri"/>
      <w:color w:val="000000"/>
      <w:sz w:val="18"/>
      <w:szCs w:val="18"/>
      <w:u w:val="none"/>
    </w:rPr>
  </w:style>
  <w:style w:type="character" w:customStyle="1" w:styleId="26">
    <w:name w:val="font01"/>
    <w:basedOn w:val="20"/>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5003</Words>
  <Characters>5183</Characters>
  <Lines>0</Lines>
  <Paragraphs>0</Paragraphs>
  <TotalTime>11</TotalTime>
  <ScaleCrop>false</ScaleCrop>
  <LinksUpToDate>false</LinksUpToDate>
  <CharactersWithSpaces>5373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2025-06-09T08:58:00Z</cp:lastPrinted>
  <dcterms:modified xsi:type="dcterms:W3CDTF">2025-06-16T01:36:53Z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C05AC66741D34244BB6A4484CA91A2FC_13</vt:lpwstr>
  </property>
  <property fmtid="{D5CDD505-2E9C-101B-9397-08002B2CF9AE}" pid="4" name="KSOTemplateDocerSaveRecord">
    <vt:lpwstr>eyJoZGlkIjoiYjJmZmFmMGFkNTkxMTc3Y2Q4ODdmNWVhNTFmYjU5MjciLCJ1c2VySWQiOiIxMjE4MTQ0Nzk4In0=</vt:lpwstr>
  </property>
</Properties>
</file>