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6D8A">
      <w:pPr>
        <w:jc w:val="center"/>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第一章</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lang w:eastAsia="zh-CN"/>
        </w:rPr>
        <w:t>乐山市五通桥区</w:t>
      </w:r>
      <w:r>
        <w:rPr>
          <w:rFonts w:hint="eastAsia" w:ascii="黑体" w:hAnsi="黑体" w:eastAsia="黑体" w:cs="黑体"/>
          <w:color w:val="auto"/>
          <w:sz w:val="36"/>
          <w:szCs w:val="36"/>
          <w:lang w:val="en-US" w:eastAsia="zh-CN"/>
        </w:rPr>
        <w:t>紧密型城市医疗集团</w:t>
      </w:r>
    </w:p>
    <w:p w14:paraId="4FEA2787">
      <w:pPr>
        <w:jc w:val="center"/>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院内采购公告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auto"/>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采购项目名称：医用耗材（第一批）</w:t>
      </w:r>
      <w:bookmarkStart w:id="16" w:name="_GoBack"/>
      <w:bookmarkEnd w:id="16"/>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eastAsia="zh-CN"/>
        </w:rPr>
        <w:t>项目采购编号：</w:t>
      </w:r>
      <w:r>
        <w:rPr>
          <w:rFonts w:hint="eastAsia" w:ascii="仿宋" w:hAnsi="仿宋" w:eastAsia="仿宋" w:cs="仿宋"/>
          <w:color w:val="auto"/>
          <w:kern w:val="0"/>
          <w:sz w:val="32"/>
          <w:szCs w:val="32"/>
          <w:lang w:val="en-US" w:eastAsia="zh-CN"/>
        </w:rPr>
        <w:t xml:space="preserve">YNCG2025013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采购项目内容（详细要求请看附件）：</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三</w:t>
      </w:r>
      <w:r>
        <w:rPr>
          <w:rFonts w:hint="eastAsia" w:ascii="仿宋" w:hAnsi="仿宋" w:eastAsia="仿宋" w:cs="仿宋"/>
          <w:color w:val="auto"/>
          <w:kern w:val="0"/>
          <w:sz w:val="32"/>
          <w:szCs w:val="32"/>
          <w:lang w:eastAsia="zh-CN"/>
        </w:rPr>
        <w:t>、供应商参加本次采购活动</w:t>
      </w:r>
      <w:r>
        <w:rPr>
          <w:rFonts w:hint="eastAsia" w:ascii="仿宋" w:hAnsi="仿宋" w:eastAsia="仿宋" w:cs="仿宋"/>
          <w:color w:val="auto"/>
          <w:kern w:val="0"/>
          <w:sz w:val="32"/>
          <w:szCs w:val="32"/>
          <w:lang w:val="en-US" w:eastAsia="zh-CN"/>
        </w:rPr>
        <w:t>需要</w:t>
      </w:r>
      <w:r>
        <w:rPr>
          <w:rFonts w:hint="eastAsia" w:ascii="仿宋" w:hAnsi="仿宋" w:eastAsia="仿宋" w:cs="仿宋"/>
          <w:color w:val="auto"/>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4.请满足上述资质要求的供应商于</w:t>
      </w:r>
      <w:r>
        <w:rPr>
          <w:rFonts w:hint="eastAsia" w:ascii="仿宋" w:hAnsi="仿宋" w:eastAsia="仿宋" w:cs="仿宋"/>
          <w:color w:val="auto"/>
          <w:kern w:val="0"/>
          <w:sz w:val="32"/>
          <w:szCs w:val="32"/>
          <w:lang w:val="en-US" w:eastAsia="zh-CN"/>
        </w:rPr>
        <w:t>2025年8月25日17:00</w:t>
      </w:r>
      <w:r>
        <w:rPr>
          <w:rFonts w:hint="eastAsia" w:ascii="仿宋" w:hAnsi="仿宋" w:eastAsia="仿宋" w:cs="仿宋"/>
          <w:color w:val="auto"/>
          <w:kern w:val="0"/>
          <w:sz w:val="32"/>
          <w:szCs w:val="32"/>
          <w:lang w:val="en-US" w:eastAsia="zh-CN"/>
        </w:rPr>
        <w:t>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2.在供应商满足相关资质要求及服务要求的条件下，采购采用</w:t>
      </w:r>
      <w:r>
        <w:rPr>
          <w:rFonts w:hint="eastAsia" w:ascii="仿宋" w:hAnsi="仿宋" w:eastAsia="仿宋" w:cs="仿宋"/>
          <w:color w:val="auto"/>
          <w:kern w:val="0"/>
          <w:sz w:val="32"/>
          <w:szCs w:val="32"/>
          <w:lang w:val="en-US" w:eastAsia="zh-CN"/>
        </w:rPr>
        <w:t>综合评分法（一次报价）</w:t>
      </w:r>
      <w:r>
        <w:rPr>
          <w:rFonts w:hint="eastAsia" w:ascii="仿宋" w:hAnsi="仿宋" w:eastAsia="仿宋" w:cs="仿宋"/>
          <w:color w:val="auto"/>
          <w:kern w:val="0"/>
          <w:sz w:val="32"/>
          <w:szCs w:val="32"/>
          <w:lang w:val="en-US" w:eastAsia="zh-CN"/>
        </w:rPr>
        <w:t>，中标结果由医院网站公示，中标公司请在公示后30日内到采购办签订合同，超过公示后30日不响应签订合同的视为放弃中标资格，放弃中标资格或因不可抗力提出不能履行合同的，将按照排名先后顺序依次替补或重新招采。</w:t>
      </w:r>
    </w:p>
    <w:p w14:paraId="1F96F765">
      <w:pPr>
        <w:pStyle w:val="16"/>
        <w:spacing w:line="240" w:lineRule="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 xml:space="preserve">  3.本项目不接受联合体，不允许分包。</w:t>
      </w:r>
    </w:p>
    <w:p w14:paraId="7285063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val="en-US" w:eastAsia="zh-CN"/>
        </w:rPr>
        <w:t>龙</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lang w:val="en-US" w:eastAsia="zh-CN"/>
        </w:rPr>
        <w:t>采购办）</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val="en-US" w:eastAsia="zh-CN"/>
        </w:rPr>
        <w:t>0833-3211269</w:t>
      </w:r>
    </w:p>
    <w:p w14:paraId="1B37A5B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val="en-US" w:eastAsia="zh-CN"/>
        </w:rPr>
        <w:t>蒋</w:t>
      </w:r>
      <w:r>
        <w:rPr>
          <w:rFonts w:hint="eastAsia" w:ascii="仿宋" w:hAnsi="仿宋" w:eastAsia="仿宋" w:cs="仿宋"/>
          <w:color w:val="auto"/>
          <w:kern w:val="0"/>
          <w:sz w:val="32"/>
          <w:szCs w:val="32"/>
          <w:lang w:eastAsia="zh-CN"/>
        </w:rPr>
        <w:t>老师（</w:t>
      </w:r>
      <w:r>
        <w:rPr>
          <w:rFonts w:hint="eastAsia" w:ascii="仿宋" w:hAnsi="仿宋" w:eastAsia="仿宋" w:cs="仿宋"/>
          <w:color w:val="auto"/>
          <w:kern w:val="0"/>
          <w:sz w:val="32"/>
          <w:szCs w:val="32"/>
          <w:lang w:val="en-US" w:eastAsia="zh-CN"/>
        </w:rPr>
        <w:t>药剂科）</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val="en-US" w:eastAsia="zh-CN"/>
        </w:rPr>
        <w:t>0833-3211269</w:t>
      </w:r>
    </w:p>
    <w:p w14:paraId="0C005918">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4A68482B">
      <w:pPr>
        <w:pStyle w:val="30"/>
        <w:spacing w:line="240" w:lineRule="auto"/>
        <w:rPr>
          <w:rFonts w:hint="eastAsia"/>
          <w:lang w:eastAsia="zh-CN"/>
        </w:rPr>
      </w:pPr>
    </w:p>
    <w:p w14:paraId="752D63B9">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47C86D6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B6BCC4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14:paraId="04614F0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7FEB435">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3D9AA50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023D98A">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5DD4FF04">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FF0000"/>
          <w:sz w:val="32"/>
          <w:szCs w:val="32"/>
          <w:lang w:eastAsia="zh-CN"/>
        </w:rPr>
      </w:pPr>
      <w:r>
        <w:rPr>
          <w:rFonts w:hint="eastAsia" w:ascii="仿宋" w:hAnsi="仿宋" w:eastAsia="仿宋" w:cs="仿宋"/>
          <w:color w:val="FF0000"/>
          <w:sz w:val="32"/>
          <w:szCs w:val="32"/>
          <w:lang w:eastAsia="zh-CN"/>
        </w:rPr>
        <w:t>采购办</w:t>
      </w:r>
      <w:r>
        <w:rPr>
          <w:rFonts w:hint="eastAsia" w:ascii="仿宋" w:hAnsi="仿宋" w:eastAsia="仿宋" w:cs="仿宋"/>
          <w:color w:val="FF0000"/>
          <w:sz w:val="32"/>
          <w:szCs w:val="32"/>
        </w:rPr>
        <w:t>按</w:t>
      </w:r>
      <w:r>
        <w:rPr>
          <w:rFonts w:hint="eastAsia" w:ascii="仿宋" w:hAnsi="仿宋" w:eastAsia="仿宋" w:cs="仿宋"/>
          <w:color w:val="FF0000"/>
          <w:sz w:val="32"/>
          <w:szCs w:val="32"/>
          <w:lang w:eastAsia="zh-CN"/>
        </w:rPr>
        <w:t>院内采购</w:t>
      </w:r>
      <w:r>
        <w:rPr>
          <w:rFonts w:hint="eastAsia" w:ascii="仿宋" w:hAnsi="仿宋" w:eastAsia="仿宋" w:cs="仿宋"/>
          <w:color w:val="FF0000"/>
          <w:sz w:val="32"/>
          <w:szCs w:val="32"/>
        </w:rPr>
        <w:t>文件规定的时间和地点召</w:t>
      </w:r>
      <w:r>
        <w:rPr>
          <w:rFonts w:hint="eastAsia" w:ascii="仿宋" w:hAnsi="仿宋" w:eastAsia="仿宋" w:cs="仿宋"/>
          <w:color w:val="FF0000"/>
          <w:sz w:val="32"/>
          <w:szCs w:val="32"/>
          <w:lang w:eastAsia="zh-CN"/>
        </w:rPr>
        <w:t>开采购</w:t>
      </w:r>
      <w:r>
        <w:rPr>
          <w:rFonts w:hint="eastAsia" w:ascii="仿宋" w:hAnsi="仿宋" w:eastAsia="仿宋" w:cs="仿宋"/>
          <w:color w:val="FF0000"/>
          <w:sz w:val="32"/>
          <w:szCs w:val="32"/>
        </w:rPr>
        <w:t>会议，并邀请所有已报名的供应商参加。供应商的法定代表人或其授权委托代理人不参加会议，则视为自动放弃</w:t>
      </w:r>
      <w:r>
        <w:rPr>
          <w:rFonts w:hint="eastAsia" w:ascii="仿宋" w:hAnsi="仿宋" w:eastAsia="仿宋" w:cs="仿宋"/>
          <w:color w:val="FF0000"/>
          <w:sz w:val="32"/>
          <w:szCs w:val="32"/>
          <w:lang w:eastAsia="zh-CN"/>
        </w:rPr>
        <w:t>院内采购</w:t>
      </w:r>
      <w:r>
        <w:rPr>
          <w:rFonts w:hint="eastAsia" w:ascii="仿宋" w:hAnsi="仿宋" w:eastAsia="仿宋" w:cs="仿宋"/>
          <w:color w:val="FF0000"/>
          <w:sz w:val="32"/>
          <w:szCs w:val="32"/>
        </w:rPr>
        <w:t>。</w:t>
      </w:r>
      <w:r>
        <w:rPr>
          <w:rFonts w:hint="eastAsia" w:ascii="仿宋" w:hAnsi="仿宋" w:eastAsia="仿宋" w:cs="仿宋"/>
          <w:color w:val="FF0000"/>
          <w:sz w:val="32"/>
          <w:szCs w:val="32"/>
          <w:lang w:eastAsia="zh-CN"/>
        </w:rPr>
        <w:t>（谈判或磋商）。</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0BF2A081">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14:paraId="091173C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BBA66FB">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015F6023">
      <w:pPr>
        <w:pStyle w:val="7"/>
        <w:ind w:left="0" w:leftChars="0" w:firstLine="0" w:firstLineChars="0"/>
        <w:rPr>
          <w:rFonts w:hint="eastAsia" w:ascii="黑体" w:hAnsi="黑体" w:eastAsia="黑体" w:cs="黑体"/>
          <w:lang w:eastAsia="zh-CN"/>
        </w:rPr>
      </w:pPr>
    </w:p>
    <w:p w14:paraId="313622CD">
      <w:pPr>
        <w:rPr>
          <w:rFonts w:hint="eastAsia" w:ascii="黑体" w:hAnsi="黑体" w:eastAsia="黑体" w:cs="黑体"/>
          <w:lang w:val="en-US" w:eastAsia="zh-CN"/>
        </w:rPr>
      </w:pPr>
    </w:p>
    <w:p w14:paraId="05D22D7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51E9A29">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5C87371">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sz w:val="84"/>
          <w:szCs w:val="84"/>
          <w:lang w:eastAsia="zh-CN"/>
        </w:rPr>
      </w:pPr>
    </w:p>
    <w:p w14:paraId="5E7EE96D">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院内询价、采购、谈判、遴选文件</w:t>
      </w:r>
    </w:p>
    <w:p w14:paraId="6FE91240">
      <w:pPr>
        <w:rPr>
          <w:rFonts w:hint="eastAsia" w:ascii="黑体" w:hAnsi="黑体" w:eastAsia="黑体" w:cs="黑体"/>
          <w:sz w:val="84"/>
          <w:szCs w:val="84"/>
          <w:lang w:val="en-US" w:eastAsia="zh-CN"/>
        </w:rPr>
      </w:pPr>
    </w:p>
    <w:p w14:paraId="65B839F2">
      <w:pPr>
        <w:pStyle w:val="5"/>
        <w:rPr>
          <w:rFonts w:hint="eastAsia" w:ascii="黑体" w:hAnsi="黑体" w:eastAsia="黑体" w:cs="黑体"/>
          <w:lang w:val="en-US" w:eastAsia="zh-CN"/>
        </w:rPr>
      </w:pPr>
    </w:p>
    <w:p w14:paraId="24147955">
      <w:pPr>
        <w:spacing w:line="400" w:lineRule="exact"/>
        <w:ind w:firstLine="4897" w:firstLineChars="583"/>
        <w:rPr>
          <w:rFonts w:hint="eastAsia" w:ascii="黑体" w:hAnsi="黑体" w:eastAsia="黑体" w:cs="黑体"/>
          <w:sz w:val="84"/>
          <w:szCs w:val="84"/>
        </w:rPr>
      </w:pPr>
    </w:p>
    <w:p w14:paraId="03B0BC2C">
      <w:pPr>
        <w:spacing w:line="400" w:lineRule="exact"/>
        <w:ind w:firstLine="4897" w:firstLineChars="583"/>
        <w:rPr>
          <w:rFonts w:hint="eastAsia" w:ascii="黑体" w:hAnsi="黑体" w:eastAsia="黑体" w:cs="黑体"/>
          <w:sz w:val="84"/>
          <w:szCs w:val="84"/>
        </w:rPr>
      </w:pPr>
    </w:p>
    <w:p w14:paraId="44CCBE24">
      <w:pPr>
        <w:spacing w:line="400" w:lineRule="exact"/>
        <w:rPr>
          <w:rFonts w:hint="eastAsia" w:ascii="黑体" w:hAnsi="黑体" w:eastAsia="黑体" w:cs="黑体"/>
          <w:b/>
          <w:bCs/>
          <w:sz w:val="30"/>
          <w:szCs w:val="30"/>
        </w:rPr>
      </w:pPr>
    </w:p>
    <w:p w14:paraId="203C376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D849B8D">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00278458">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sz w:val="32"/>
          <w:szCs w:val="32"/>
        </w:rPr>
      </w:pPr>
    </w:p>
    <w:p w14:paraId="12B15D86">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88E0B2">
      <w:pPr>
        <w:rPr>
          <w:rFonts w:hint="eastAsia" w:ascii="黑体" w:hAnsi="黑体" w:eastAsia="黑体" w:cs="黑体"/>
          <w:b/>
          <w:bCs/>
          <w:sz w:val="32"/>
          <w:szCs w:val="32"/>
        </w:rPr>
      </w:pPr>
      <w:bookmarkStart w:id="0" w:name="_Toc5773"/>
      <w:bookmarkStart w:id="1" w:name="_Toc9490"/>
      <w:bookmarkStart w:id="2" w:name="_Toc25737"/>
      <w:bookmarkStart w:id="3" w:name="_Toc18458"/>
      <w:r>
        <w:rPr>
          <w:rFonts w:hint="eastAsia" w:ascii="黑体" w:hAnsi="黑体" w:eastAsia="黑体" w:cs="黑体"/>
          <w:b/>
          <w:bCs/>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000000"/>
          <w:spacing w:val="2"/>
          <w:sz w:val="40"/>
          <w:szCs w:val="40"/>
        </w:rPr>
      </w:pPr>
      <w:bookmarkStart w:id="4" w:name="_Toc12449"/>
      <w:bookmarkStart w:id="5" w:name="_Toc17549"/>
      <w:bookmarkStart w:id="6" w:name="_Toc4003"/>
      <w:bookmarkStart w:id="7" w:name="_Toc439699516"/>
      <w:r>
        <w:rPr>
          <w:rFonts w:hint="eastAsia" w:ascii="黑体" w:hAnsi="黑体" w:eastAsia="黑体" w:cs="黑体"/>
          <w:color w:val="000000"/>
          <w:spacing w:val="2"/>
          <w:sz w:val="40"/>
          <w:szCs w:val="40"/>
        </w:rPr>
        <w:t>承诺函</w:t>
      </w:r>
    </w:p>
    <w:p w14:paraId="65A6C026">
      <w:pPr>
        <w:pStyle w:val="5"/>
        <w:rPr>
          <w:rFonts w:hint="eastAsia" w:ascii="黑体" w:hAnsi="黑体" w:eastAsia="黑体" w:cs="黑体"/>
          <w:sz w:val="28"/>
          <w:szCs w:val="28"/>
        </w:rPr>
      </w:pPr>
    </w:p>
    <w:p w14:paraId="35A996C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1665E5C6">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026D5F56">
      <w:pPr>
        <w:pStyle w:val="29"/>
        <w:rPr>
          <w:rFonts w:hint="eastAsia" w:ascii="仿宋" w:hAnsi="仿宋" w:eastAsia="仿宋" w:cs="仿宋"/>
          <w:sz w:val="32"/>
          <w:szCs w:val="32"/>
        </w:rPr>
      </w:pPr>
    </w:p>
    <w:p w14:paraId="77BBA41A">
      <w:pPr>
        <w:rPr>
          <w:rFonts w:hint="eastAsia"/>
        </w:rPr>
      </w:pPr>
    </w:p>
    <w:p w14:paraId="37D7581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7089335C">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16184"/>
      <w:bookmarkStart w:id="9" w:name="_Toc199"/>
      <w:bookmarkStart w:id="10" w:name="_Toc439699522"/>
      <w:bookmarkStart w:id="11" w:name="_Toc24199"/>
      <w:bookmarkStart w:id="12" w:name="_Toc1287"/>
      <w:bookmarkStart w:id="13" w:name="_Toc1800"/>
      <w:bookmarkStart w:id="14" w:name="_Toc12426"/>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7"/>
        <w:spacing w:line="240" w:lineRule="auto"/>
        <w:ind w:firstLine="0"/>
        <w:rPr>
          <w:rFonts w:hint="eastAsia" w:ascii="仿宋" w:hAnsi="仿宋" w:eastAsia="仿宋" w:cs="仿宋"/>
          <w:color w:val="auto"/>
          <w:sz w:val="32"/>
          <w:szCs w:val="32"/>
        </w:rPr>
      </w:pPr>
    </w:p>
    <w:p w14:paraId="6DB0E3BA">
      <w:pPr>
        <w:pStyle w:val="27"/>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533A034D">
      <w:pPr>
        <w:pStyle w:val="5"/>
        <w:rPr>
          <w:rFonts w:hint="eastAsia" w:ascii="黑体" w:hAnsi="黑体" w:eastAsia="黑体" w:cs="黑体"/>
          <w:b/>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5811"/>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1" w:type="pct"/>
            <w:noWrap w:val="0"/>
            <w:vAlign w:val="center"/>
          </w:tcPr>
          <w:p w14:paraId="54D3584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257" w:type="pct"/>
            <w:noWrap w:val="0"/>
            <w:vAlign w:val="center"/>
          </w:tcPr>
          <w:p w14:paraId="5E0C646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1" w:type="pct"/>
            <w:noWrap w:val="0"/>
            <w:vAlign w:val="center"/>
          </w:tcPr>
          <w:p w14:paraId="7345429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257" w:type="pct"/>
            <w:noWrap w:val="0"/>
            <w:vAlign w:val="center"/>
          </w:tcPr>
          <w:p w14:paraId="2077600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1" w:type="pct"/>
            <w:noWrap w:val="0"/>
            <w:vAlign w:val="center"/>
          </w:tcPr>
          <w:p w14:paraId="5C99747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1" w:type="pct"/>
            <w:noWrap w:val="0"/>
            <w:vAlign w:val="center"/>
          </w:tcPr>
          <w:p w14:paraId="1D80CC9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257" w:type="pct"/>
            <w:noWrap w:val="0"/>
            <w:vAlign w:val="center"/>
          </w:tcPr>
          <w:p w14:paraId="57E28AE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1" w:type="pct"/>
            <w:noWrap w:val="0"/>
            <w:vAlign w:val="center"/>
          </w:tcPr>
          <w:p w14:paraId="5CFA2AD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257" w:type="pct"/>
            <w:shd w:val="clear" w:color="auto" w:fill="auto"/>
            <w:noWrap w:val="0"/>
            <w:vAlign w:val="center"/>
          </w:tcPr>
          <w:p w14:paraId="0A2509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391" w:type="pct"/>
            <w:noWrap w:val="0"/>
            <w:vAlign w:val="center"/>
          </w:tcPr>
          <w:p w14:paraId="637F240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257" w:type="pct"/>
            <w:shd w:val="clear" w:color="auto" w:fill="auto"/>
            <w:noWrap w:val="0"/>
            <w:vAlign w:val="center"/>
          </w:tcPr>
          <w:p w14:paraId="24FFDEED">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1" w:type="pct"/>
            <w:shd w:val="clear" w:color="auto" w:fill="auto"/>
            <w:noWrap w:val="0"/>
            <w:vAlign w:val="center"/>
          </w:tcPr>
          <w:p w14:paraId="61A7CF0F">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69458A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网页截图盖公章</w:t>
            </w:r>
          </w:p>
        </w:tc>
      </w:tr>
      <w:tr w14:paraId="13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1" w:type="pct"/>
            <w:noWrap w:val="0"/>
            <w:vAlign w:val="center"/>
          </w:tcPr>
          <w:p w14:paraId="6C97E152">
            <w:pPr>
              <w:snapToGrid w:val="0"/>
              <w:spacing w:line="240" w:lineRule="auto"/>
              <w:contextualSpacing/>
              <w:rPr>
                <w:rFonts w:hint="default" w:ascii="仿宋" w:hAnsi="仿宋" w:eastAsia="仿宋" w:cs="仿宋"/>
                <w:color w:val="000000"/>
                <w:spacing w:val="2"/>
                <w:sz w:val="32"/>
                <w:szCs w:val="32"/>
                <w:lang w:val="en-US" w:eastAsia="zh-CN"/>
              </w:rPr>
            </w:pPr>
          </w:p>
        </w:tc>
        <w:tc>
          <w:tcPr>
            <w:tcW w:w="3257" w:type="pct"/>
            <w:noWrap w:val="0"/>
            <w:vAlign w:val="center"/>
          </w:tcPr>
          <w:p w14:paraId="3CC69F2B">
            <w:pPr>
              <w:snapToGrid w:val="0"/>
              <w:spacing w:line="240" w:lineRule="auto"/>
              <w:contextualSpacing/>
              <w:rPr>
                <w:rFonts w:hint="default" w:ascii="仿宋" w:hAnsi="仿宋" w:eastAsia="仿宋" w:cs="仿宋"/>
                <w:color w:val="000000"/>
                <w:spacing w:val="2"/>
                <w:sz w:val="32"/>
                <w:szCs w:val="32"/>
                <w:lang w:val="en-US" w:eastAsia="zh-CN"/>
              </w:rPr>
            </w:pPr>
          </w:p>
        </w:tc>
        <w:tc>
          <w:tcPr>
            <w:tcW w:w="511" w:type="pct"/>
            <w:noWrap w:val="0"/>
            <w:vAlign w:val="center"/>
          </w:tcPr>
          <w:p w14:paraId="70DAD64F">
            <w:pPr>
              <w:snapToGrid w:val="0"/>
              <w:spacing w:line="240" w:lineRule="auto"/>
              <w:contextualSpacing/>
              <w:rPr>
                <w:rFonts w:hint="default" w:ascii="仿宋" w:hAnsi="仿宋" w:eastAsia="仿宋" w:cs="仿宋"/>
                <w:color w:val="000000"/>
                <w:spacing w:val="2"/>
                <w:sz w:val="32"/>
                <w:szCs w:val="32"/>
                <w:lang w:val="en-US" w:eastAsia="zh-CN"/>
              </w:rPr>
            </w:pPr>
          </w:p>
        </w:tc>
        <w:tc>
          <w:tcPr>
            <w:tcW w:w="839" w:type="pct"/>
            <w:noWrap w:val="0"/>
            <w:vAlign w:val="center"/>
          </w:tcPr>
          <w:p w14:paraId="7BFAF613">
            <w:pPr>
              <w:snapToGrid w:val="0"/>
              <w:spacing w:line="240" w:lineRule="auto"/>
              <w:contextualSpacing/>
              <w:rPr>
                <w:rFonts w:hint="default" w:ascii="仿宋" w:hAnsi="仿宋" w:eastAsia="仿宋" w:cs="仿宋"/>
                <w:color w:val="000000"/>
                <w:spacing w:val="2"/>
                <w:sz w:val="32"/>
                <w:szCs w:val="32"/>
                <w:lang w:val="en-US" w:eastAsia="zh-CN"/>
              </w:rPr>
            </w:pPr>
          </w:p>
        </w:tc>
      </w:tr>
    </w:tbl>
    <w:p w14:paraId="0C144795">
      <w:pPr>
        <w:pStyle w:val="5"/>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72D33233">
      <w:pPr>
        <w:pStyle w:val="5"/>
        <w:rPr>
          <w:rFonts w:hint="eastAsia" w:ascii="黑体" w:hAnsi="黑体" w:eastAsia="黑体" w:cs="黑体"/>
          <w:lang w:val="en-US" w:eastAsia="zh-CN"/>
        </w:rPr>
      </w:pPr>
    </w:p>
    <w:p w14:paraId="2E758947">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14:paraId="6C447633">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包1：胃镜室耗材</w:t>
      </w:r>
    </w:p>
    <w:tbl>
      <w:tblPr>
        <w:tblStyle w:val="17"/>
        <w:tblW w:w="9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205"/>
        <w:gridCol w:w="500"/>
        <w:gridCol w:w="841"/>
        <w:gridCol w:w="829"/>
        <w:gridCol w:w="3091"/>
        <w:gridCol w:w="1568"/>
        <w:gridCol w:w="727"/>
      </w:tblGrid>
      <w:tr w14:paraId="0AE8A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6345">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4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EDCC">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单位</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4AE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最高限价</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B6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4CB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技术参数</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152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B979">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2024年度使用量</w:t>
            </w:r>
          </w:p>
        </w:tc>
      </w:tr>
      <w:tr w14:paraId="7181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4E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2A29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电圈套器</w:t>
            </w:r>
          </w:p>
        </w:tc>
        <w:tc>
          <w:tcPr>
            <w:tcW w:w="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272FE">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025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A1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各规格</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3CC9">
            <w:pPr>
              <w:keepNext w:val="0"/>
              <w:keepLines w:val="0"/>
              <w:widowControl/>
              <w:numPr>
                <w:ilvl w:val="0"/>
                <w:numId w:val="3"/>
              </w:numPr>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 xml:space="preserve">套圈形状：椭圆形 工作长度≥1600mm </w:t>
            </w:r>
          </w:p>
          <w:p w14:paraId="4CD49631">
            <w:pPr>
              <w:keepNext w:val="0"/>
              <w:keepLines w:val="0"/>
              <w:widowControl/>
              <w:numPr>
                <w:ilvl w:val="0"/>
                <w:numId w:val="3"/>
              </w:numPr>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一次性使用电圈套器由电圈、管鞘(PTFE)、拉索、护套管(PU)、手柄(ABS)、电极插头组成。</w:t>
            </w:r>
          </w:p>
          <w:p w14:paraId="04651F98">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3.产品为一次性使用，环氧乙烷灭菌。</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3838">
            <w:pPr>
              <w:jc w:val="left"/>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用于消化道息肉的切除。</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1374">
            <w:pPr>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260</w:t>
            </w:r>
          </w:p>
        </w:tc>
      </w:tr>
      <w:tr w14:paraId="04E3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51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F1033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夹子装置</w:t>
            </w:r>
          </w:p>
        </w:tc>
        <w:tc>
          <w:tcPr>
            <w:tcW w:w="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9FF7E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1B5D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60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各规格</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6A01">
            <w:pPr>
              <w:keepNext w:val="0"/>
              <w:keepLines w:val="0"/>
              <w:widowControl/>
              <w:numPr>
                <w:ilvl w:val="0"/>
                <w:numId w:val="4"/>
              </w:numPr>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夹子开幅含9mm/11mm</w:t>
            </w:r>
          </w:p>
          <w:p w14:paraId="66305913">
            <w:pPr>
              <w:keepNext w:val="0"/>
              <w:keepLines w:val="0"/>
              <w:widowControl/>
              <w:numPr>
                <w:ilvl w:val="0"/>
                <w:numId w:val="4"/>
              </w:numPr>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由夹子、套筒、金属帽、弹簧外管（包塑、不包塑）、护套管、芯杆、拉索组件、滑环组成。</w:t>
            </w:r>
          </w:p>
          <w:p w14:paraId="2A73B077">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3一体化设计，可同步旋转，反复开闭，精准应对消化道出血情况。</w:t>
            </w:r>
          </w:p>
          <w:p w14:paraId="192EF57C">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4</w:t>
            </w:r>
            <w:r>
              <w:rPr>
                <w:rFonts w:hint="eastAsia" w:ascii="仿宋" w:hAnsi="仿宋" w:eastAsia="仿宋" w:cs="仿宋"/>
                <w:i w:val="0"/>
                <w:iCs w:val="0"/>
                <w:color w:val="000000"/>
                <w:sz w:val="22"/>
                <w:szCs w:val="22"/>
                <w:u w:val="none"/>
              </w:rPr>
              <w:t>.产品为一次性使用，环氧乙烷灭菌。</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B6F7">
            <w:pPr>
              <w:jc w:val="left"/>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用于消化道息肉的切除。</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8156">
            <w:pPr>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340</w:t>
            </w:r>
          </w:p>
        </w:tc>
      </w:tr>
      <w:tr w14:paraId="1B3D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3E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D160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内镜用注射针</w:t>
            </w:r>
          </w:p>
        </w:tc>
        <w:tc>
          <w:tcPr>
            <w:tcW w:w="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F19556">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4F9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F3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各规格</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72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1.针头直径含23G、25G,针长≥4mm。 2.外管长度≥2000mm。3.产品为一次性使用，环氧乙烷灭菌。</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3675">
            <w:pPr>
              <w:jc w:val="left"/>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用于消化道黏膜下层的注射。</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529E">
            <w:pPr>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r>
      <w:tr w14:paraId="3367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AD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BE890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无菌内镜活组织取样钳</w:t>
            </w:r>
          </w:p>
        </w:tc>
        <w:tc>
          <w:tcPr>
            <w:tcW w:w="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E5EB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741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37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各规格</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5540">
            <w:pPr>
              <w:keepNext w:val="0"/>
              <w:keepLines w:val="0"/>
              <w:widowControl/>
              <w:numPr>
                <w:ilvl w:val="0"/>
                <w:numId w:val="5"/>
              </w:numPr>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直径≥2.0mm,工作长度≥1600mm</w:t>
            </w:r>
            <w:r>
              <w:rPr>
                <w:rFonts w:hint="eastAsia" w:ascii="仿宋" w:hAnsi="仿宋" w:eastAsia="仿宋" w:cs="仿宋"/>
                <w:i w:val="0"/>
                <w:iCs w:val="0"/>
                <w:color w:val="000000"/>
                <w:sz w:val="22"/>
                <w:szCs w:val="22"/>
                <w:u w:val="none"/>
                <w:lang w:eastAsia="zh-CN"/>
              </w:rPr>
              <w:t>。</w:t>
            </w:r>
          </w:p>
          <w:p w14:paraId="080C9238">
            <w:pPr>
              <w:keepNext w:val="0"/>
              <w:keepLines w:val="0"/>
              <w:widowControl/>
              <w:numPr>
                <w:ilvl w:val="0"/>
                <w:numId w:val="5"/>
              </w:numPr>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 xml:space="preserve">适用钳道≥2.8mm </w:t>
            </w:r>
          </w:p>
          <w:p w14:paraId="0F065898">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3.型号齐全，手感优秀，可进行旋转。</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96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供医院内镜诊断时通过内镜钳道钳取活组织用。适用于胃镜、纤支镜</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0E2A">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1030</w:t>
            </w:r>
          </w:p>
        </w:tc>
      </w:tr>
      <w:tr w14:paraId="3DD9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2F11">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5</w:t>
            </w:r>
          </w:p>
        </w:tc>
        <w:tc>
          <w:tcPr>
            <w:tcW w:w="1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59E7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一次性使用内镜下牵拉组织夹</w:t>
            </w:r>
          </w:p>
        </w:tc>
        <w:tc>
          <w:tcPr>
            <w:tcW w:w="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18273A">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93490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A7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各规格</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36E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1.开口尺寸≥8mm，工作长度≥1350mm 2.该产品以无菌状态提供，经环氧乙烷灭菌，一次性使用。</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A557">
            <w:pPr>
              <w:jc w:val="left"/>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在内镜黏膜下剥离术操作中，用于牵开组织，改善手术视野。</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59EE">
            <w:pPr>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232A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1C2B">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6</w:t>
            </w:r>
          </w:p>
        </w:tc>
        <w:tc>
          <w:tcPr>
            <w:tcW w:w="1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682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一次性使用内窥镜套扎器</w:t>
            </w:r>
          </w:p>
        </w:tc>
        <w:tc>
          <w:tcPr>
            <w:tcW w:w="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E800A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99AC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F9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各规格</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5496">
            <w:pPr>
              <w:keepNext w:val="0"/>
              <w:keepLines w:val="0"/>
              <w:widowControl/>
              <w:numPr>
                <w:ilvl w:val="0"/>
                <w:numId w:val="6"/>
              </w:numPr>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 xml:space="preserve">工作长度≥1500mm </w:t>
            </w:r>
          </w:p>
          <w:p w14:paraId="269457D6">
            <w:pPr>
              <w:keepNext w:val="0"/>
              <w:keepLines w:val="0"/>
              <w:widowControl/>
              <w:numPr>
                <w:ilvl w:val="0"/>
                <w:numId w:val="6"/>
              </w:numPr>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 xml:space="preserve">套圈数量含6连发、10连发 </w:t>
            </w:r>
          </w:p>
          <w:p w14:paraId="612EC085">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3.经环氧乙烷灭菌，一次性使用。</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F549">
            <w:pPr>
              <w:jc w:val="left"/>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供临床单位与内窥镜配套用于食道静脉曲张的血管结扎或用于套扎内痔。</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FCEB">
            <w:pPr>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r>
      <w:tr w14:paraId="44DE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02D3">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7</w:t>
            </w:r>
          </w:p>
        </w:tc>
        <w:tc>
          <w:tcPr>
            <w:tcW w:w="1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450E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一次性使用黏膜切开刀</w:t>
            </w:r>
          </w:p>
        </w:tc>
        <w:tc>
          <w:tcPr>
            <w:tcW w:w="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39D79">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C07819">
            <w:pPr>
              <w:keepNext w:val="0"/>
              <w:keepLines w:val="0"/>
              <w:widowControl/>
              <w:suppressLineNumbers w:val="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1750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DED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各规格</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5D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1.切开刀伸出最大长度≥1.5mm，工作长度：≥1650mm，头部特征含D型 3.产品为一次性使用，环氧乙烷灭菌。</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FFBE">
            <w:pPr>
              <w:jc w:val="left"/>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用于在消化道内利用高频电流切开组织。</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A56E">
            <w:pPr>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r>
      <w:tr w14:paraId="7E02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1"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FB19">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8</w:t>
            </w:r>
          </w:p>
        </w:tc>
        <w:tc>
          <w:tcPr>
            <w:tcW w:w="1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B085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一次性使用网兜套圈</w:t>
            </w:r>
          </w:p>
        </w:tc>
        <w:tc>
          <w:tcPr>
            <w:tcW w:w="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B95D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AA314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3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各规格</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755F">
            <w:pPr>
              <w:keepNext w:val="0"/>
              <w:keepLines w:val="0"/>
              <w:widowControl/>
              <w:numPr>
                <w:ilvl w:val="0"/>
                <w:numId w:val="7"/>
              </w:numPr>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 xml:space="preserve">工作长度≥1500mm </w:t>
            </w:r>
          </w:p>
          <w:p w14:paraId="102BC93A">
            <w:pPr>
              <w:keepNext w:val="0"/>
              <w:keepLines w:val="0"/>
              <w:widowControl/>
              <w:numPr>
                <w:ilvl w:val="0"/>
                <w:numId w:val="7"/>
              </w:numPr>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 xml:space="preserve">套圈数量含6连发、10连发 </w:t>
            </w:r>
          </w:p>
          <w:p w14:paraId="00B4C93E">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3.经环氧乙烷灭菌，一次性使用。</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1A25">
            <w:pPr>
              <w:jc w:val="left"/>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通过内窥镜钳道进入非血管腔道，在内窥镜的监视下，用于异物取出。</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1238">
            <w:pPr>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r>
      <w:tr w14:paraId="374D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EC70">
            <w:pPr>
              <w:keepNext w:val="0"/>
              <w:keepLines w:val="0"/>
              <w:widowControl/>
              <w:suppressLineNumbers w:val="0"/>
              <w:jc w:val="left"/>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9</w:t>
            </w:r>
          </w:p>
        </w:tc>
        <w:tc>
          <w:tcPr>
            <w:tcW w:w="12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4616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热活检钳</w:t>
            </w:r>
          </w:p>
        </w:tc>
        <w:tc>
          <w:tcPr>
            <w:tcW w:w="5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2FE2E">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FF1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DCA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各规格</w:t>
            </w:r>
          </w:p>
        </w:tc>
        <w:tc>
          <w:tcPr>
            <w:tcW w:w="3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0774">
            <w:pPr>
              <w:keepNext w:val="0"/>
              <w:keepLines w:val="0"/>
              <w:widowControl/>
              <w:numPr>
                <w:ilvl w:val="0"/>
                <w:numId w:val="8"/>
              </w:numPr>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外管直径≤2.4mm。</w:t>
            </w:r>
          </w:p>
          <w:p w14:paraId="26A368CA">
            <w:pPr>
              <w:keepNext w:val="0"/>
              <w:keepLines w:val="0"/>
              <w:widowControl/>
              <w:numPr>
                <w:ilvl w:val="0"/>
                <w:numId w:val="8"/>
              </w:numPr>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钳头直径有≤2.4mm，开口宽度≥4.5mm.</w:t>
            </w:r>
          </w:p>
          <w:p w14:paraId="4399E7AE">
            <w:pPr>
              <w:keepNext w:val="0"/>
              <w:keepLines w:val="0"/>
              <w:widowControl/>
              <w:numPr>
                <w:ilvl w:val="0"/>
                <w:numId w:val="8"/>
              </w:numPr>
              <w:suppressLineNumbers w:val="0"/>
              <w:ind w:left="0" w:lef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rPr>
              <w:t>工作长度≥1600mm，可通过钳道≥2.8mm。</w:t>
            </w:r>
          </w:p>
          <w:p w14:paraId="6D5DD54A">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4</w:t>
            </w:r>
            <w:r>
              <w:rPr>
                <w:rFonts w:hint="eastAsia" w:ascii="仿宋" w:hAnsi="仿宋" w:eastAsia="仿宋" w:cs="仿宋"/>
                <w:i w:val="0"/>
                <w:iCs w:val="0"/>
                <w:color w:val="000000"/>
                <w:sz w:val="22"/>
                <w:szCs w:val="22"/>
                <w:u w:val="none"/>
              </w:rPr>
              <w:t>.产品为一次性使用，环氧乙烷灭菌。</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9570">
            <w:pPr>
              <w:jc w:val="left"/>
              <w:rPr>
                <w:rFonts w:hint="eastAsia" w:ascii="仿宋" w:hAnsi="仿宋" w:eastAsia="仿宋" w:cs="仿宋"/>
                <w:b/>
                <w:bCs/>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用于组织标本的钳取。</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7D45">
            <w:pPr>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r>
      <w:tr w14:paraId="79B1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921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802438">
            <w:pPr>
              <w:jc w:val="left"/>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以上耗材序号1、2、3、4需提供1个样品，样品应</w:t>
            </w:r>
            <w:r>
              <w:rPr>
                <w:rFonts w:hint="eastAsia" w:ascii="仿宋" w:hAnsi="仿宋" w:eastAsia="仿宋" w:cs="仿宋"/>
                <w:i w:val="0"/>
                <w:iCs w:val="0"/>
                <w:color w:val="FF0000"/>
                <w:sz w:val="22"/>
                <w:szCs w:val="22"/>
                <w:u w:val="none"/>
                <w:lang w:val="en-US" w:eastAsia="zh-CN"/>
              </w:rPr>
              <w:t>单独密封包装</w:t>
            </w:r>
            <w:r>
              <w:rPr>
                <w:rFonts w:hint="eastAsia" w:ascii="仿宋" w:hAnsi="仿宋" w:eastAsia="仿宋" w:cs="仿宋"/>
                <w:i w:val="0"/>
                <w:iCs w:val="0"/>
                <w:color w:val="000000"/>
                <w:sz w:val="22"/>
                <w:szCs w:val="22"/>
                <w:u w:val="none"/>
                <w:lang w:val="en-US" w:eastAsia="zh-CN"/>
              </w:rPr>
              <w:t>。</w:t>
            </w:r>
          </w:p>
        </w:tc>
      </w:tr>
    </w:tbl>
    <w:p w14:paraId="618BCF6A">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p>
    <w:p w14:paraId="48560F85">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包2：腹腔镜穿刺器</w:t>
      </w:r>
    </w:p>
    <w:tbl>
      <w:tblPr>
        <w:tblStyle w:val="17"/>
        <w:tblW w:w="9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1204"/>
        <w:gridCol w:w="538"/>
        <w:gridCol w:w="815"/>
        <w:gridCol w:w="829"/>
        <w:gridCol w:w="3102"/>
        <w:gridCol w:w="1546"/>
        <w:gridCol w:w="758"/>
      </w:tblGrid>
      <w:tr w14:paraId="3AC9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74FD">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61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品名</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E38B">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31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最高限价</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77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C6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01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5496">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2024年度使用量</w:t>
            </w:r>
          </w:p>
        </w:tc>
      </w:tr>
      <w:tr w14:paraId="7383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7"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594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5EC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一次性使用腹腔镜穿刺器</w:t>
            </w:r>
          </w:p>
        </w:tc>
        <w:tc>
          <w:tcPr>
            <w:tcW w:w="5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3B72">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64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E2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各规格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912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1、具体型号所对应的穿刺套管内径极限偏差+0.30、穿刺套管工作长度极限偏差±2.0、穿刺针最大外径极限偏差±0.3、穿刺针长度极限偏差±2.0；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2、穿刺器的阻气性能应符合YY0672.1-2008中的4.5.2的要求，经4Kpa气压冒出的气泡应小于20个；</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3、穿刺器灵活性应符合YY0672.1-2008中4.3的要求，穿刺器的注气和阻气阀开闭应灵活，不应有阻塞或卡塞现象。</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20F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用于腹腔镜检查和手术过程中，对腹壁组织穿刺，建立腹腔手术工作通道。</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3A4F">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781</w:t>
            </w:r>
          </w:p>
        </w:tc>
      </w:tr>
      <w:tr w14:paraId="47B9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jc w:val="center"/>
        </w:trPr>
        <w:tc>
          <w:tcPr>
            <w:tcW w:w="925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52E1">
            <w:pPr>
              <w:keepNext w:val="0"/>
              <w:keepLines w:val="0"/>
              <w:widowControl/>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需提供样品2个样品，样品应</w:t>
            </w:r>
            <w:r>
              <w:rPr>
                <w:rFonts w:hint="eastAsia" w:ascii="仿宋" w:hAnsi="仿宋" w:eastAsia="仿宋" w:cs="仿宋"/>
                <w:i w:val="0"/>
                <w:iCs w:val="0"/>
                <w:color w:val="FF0000"/>
                <w:kern w:val="0"/>
                <w:sz w:val="22"/>
                <w:szCs w:val="22"/>
                <w:u w:val="none"/>
                <w:lang w:val="en-US" w:eastAsia="zh-CN" w:bidi="ar"/>
              </w:rPr>
              <w:t>单独密封包装</w:t>
            </w:r>
            <w:r>
              <w:rPr>
                <w:rFonts w:hint="eastAsia" w:ascii="仿宋" w:hAnsi="仿宋" w:eastAsia="仿宋" w:cs="仿宋"/>
                <w:i w:val="0"/>
                <w:iCs w:val="0"/>
                <w:color w:val="000000"/>
                <w:kern w:val="0"/>
                <w:sz w:val="22"/>
                <w:szCs w:val="22"/>
                <w:u w:val="none"/>
                <w:lang w:val="en-US" w:eastAsia="zh-CN" w:bidi="ar"/>
              </w:rPr>
              <w:t>。</w:t>
            </w:r>
          </w:p>
        </w:tc>
      </w:tr>
    </w:tbl>
    <w:p w14:paraId="4FFE5700">
      <w:pPr>
        <w:pStyle w:val="16"/>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仿宋" w:hAnsi="仿宋" w:eastAsia="仿宋" w:cs="仿宋"/>
          <w:sz w:val="32"/>
          <w:szCs w:val="32"/>
          <w:lang w:val="en-US" w:eastAsia="zh-CN"/>
        </w:rPr>
      </w:pPr>
    </w:p>
    <w:p w14:paraId="675DE11C">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47CC3A40">
      <w:pPr>
        <w:pStyle w:val="16"/>
        <w:numPr>
          <w:ilvl w:val="0"/>
          <w:numId w:val="9"/>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响应时间：本项目医用耗材按实际需求进行供货，供应商应在院方提出采购计划后2个工作日内供货并送达。</w:t>
      </w:r>
    </w:p>
    <w:p w14:paraId="0F221727">
      <w:pPr>
        <w:pStyle w:val="16"/>
        <w:numPr>
          <w:ilvl w:val="0"/>
          <w:numId w:val="9"/>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服务要求：</w:t>
      </w:r>
    </w:p>
    <w:p w14:paraId="59C91F95">
      <w:pPr>
        <w:pStyle w:val="16"/>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医疗器械供应商须符合《医疗器械监督管理条例》要求并具有独立履行民事责任的主体资格、遵守国家法律法规，具有良好的信誉和诚实的商业道德、具有履行合同的能力。</w:t>
      </w:r>
    </w:p>
    <w:p w14:paraId="61F19888">
      <w:pPr>
        <w:pStyle w:val="16"/>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应商应确保所供货产品具有合格证书，符合挂网规定且拥有相应销售资格，在供货过程中若发现供应商有不守信用、以次充好或其它违规行为，由采购人提出警告，情节严重的，采购人将立即终止采购合同；凡有不守信用、未按采购人实际需求量供货、以次充好或其它违规行为的供应商经查证属实的将一律列入黑名单并终止采购合同。</w:t>
      </w:r>
    </w:p>
    <w:p w14:paraId="4B368254">
      <w:pPr>
        <w:pStyle w:val="16"/>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供应商成交价低于挂网价，按成交价格进行挂网。合同履行过程中，采购价格不得高于四川省药械集中采购及医药价格监管平台我省最高参考价、联动参考价、截止上月末全省医疗机构采购加权平均价及该挂网号本机构发生实际采购交易以来的最低采购价，更不能出现黄区价、红区价。若供应商不接受供货过程中采购价格随当月监管平台挂网价进行调整，采购人有权无条件终止合同。</w:t>
      </w:r>
      <w:r>
        <w:rPr>
          <w:rFonts w:hint="eastAsia" w:ascii="仿宋" w:hAnsi="仿宋" w:eastAsia="仿宋" w:cs="仿宋"/>
          <w:color w:val="FF0000"/>
          <w:sz w:val="32"/>
          <w:szCs w:val="32"/>
          <w:lang w:val="en-US" w:eastAsia="zh-CN"/>
        </w:rPr>
        <w:t>（供应商须提供相关承诺函原件，格式自拟）</w:t>
      </w:r>
    </w:p>
    <w:p w14:paraId="217E82BC">
      <w:pPr>
        <w:pStyle w:val="16"/>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配送的产品名称、规格、包装、组成成分等须与卫生行政部门公布的挂网信息完全一致。</w:t>
      </w:r>
    </w:p>
    <w:p w14:paraId="0A0EAB66">
      <w:pPr>
        <w:pStyle w:val="16"/>
        <w:numPr>
          <w:ilvl w:val="0"/>
          <w:numId w:val="9"/>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付款方式：本次采购耗材为平台挂网耗材，按医保局要求进行付款。</w:t>
      </w:r>
    </w:p>
    <w:p w14:paraId="6BAB8173">
      <w:pPr>
        <w:pStyle w:val="16"/>
        <w:numPr>
          <w:ilvl w:val="0"/>
          <w:numId w:val="9"/>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质量要求：供应商提供的医疗器械须符合《医疗器械注册管理办法》要求。</w:t>
      </w:r>
    </w:p>
    <w:p w14:paraId="2EE8AF2A">
      <w:pPr>
        <w:pStyle w:val="16"/>
        <w:numPr>
          <w:ilvl w:val="0"/>
          <w:numId w:val="9"/>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0"/>
          <w:szCs w:val="30"/>
          <w:lang w:val="en-US" w:eastAsia="zh-CN"/>
        </w:rPr>
        <w:t>中标供应商签订采购合同前需提供</w:t>
      </w:r>
      <w:r>
        <w:rPr>
          <w:rFonts w:hint="eastAsia" w:ascii="仿宋_GB2312" w:hAnsi="仿宋_GB2312" w:eastAsia="仿宋_GB2312" w:cs="仿宋_GB2312"/>
          <w:color w:val="auto"/>
          <w:sz w:val="30"/>
          <w:szCs w:val="30"/>
        </w:rPr>
        <w:t>相关耗材生产厂家授权销售资料</w:t>
      </w:r>
      <w:r>
        <w:rPr>
          <w:rFonts w:hint="eastAsia" w:ascii="仿宋_GB2312" w:hAnsi="仿宋_GB2312" w:eastAsia="仿宋_GB2312" w:cs="仿宋_GB2312"/>
          <w:color w:val="auto"/>
          <w:sz w:val="30"/>
          <w:szCs w:val="30"/>
          <w:lang w:eastAsia="zh-CN"/>
        </w:rPr>
        <w:t>。</w:t>
      </w:r>
    </w:p>
    <w:p w14:paraId="15E37A76">
      <w:pPr>
        <w:pStyle w:val="16"/>
        <w:numPr>
          <w:ilvl w:val="0"/>
          <w:numId w:val="9"/>
        </w:numPr>
        <w:spacing w:line="240" w:lineRule="auto"/>
        <w:ind w:left="210" w:leftChars="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72DDB67A">
      <w:pPr>
        <w:rPr>
          <w:rFonts w:hint="eastAsia" w:ascii="黑体" w:hAnsi="黑体" w:eastAsia="黑体" w:cs="黑体"/>
          <w:lang w:eastAsia="zh-CN"/>
        </w:rPr>
      </w:pPr>
    </w:p>
    <w:p w14:paraId="45896D3B">
      <w:pPr>
        <w:pStyle w:val="3"/>
        <w:rPr>
          <w:rFonts w:hint="eastAsia" w:ascii="黑体" w:hAnsi="黑体" w:eastAsia="黑体" w:cs="黑体"/>
          <w:lang w:eastAsia="zh-CN"/>
        </w:rPr>
      </w:pPr>
    </w:p>
    <w:p w14:paraId="1FED6F53">
      <w:pPr>
        <w:rPr>
          <w:rFonts w:hint="eastAsia" w:ascii="黑体" w:hAnsi="黑体" w:eastAsia="黑体" w:cs="黑体"/>
          <w:lang w:eastAsia="zh-CN"/>
        </w:rPr>
      </w:pPr>
      <w:r>
        <w:rPr>
          <w:rFonts w:hint="eastAsia" w:ascii="黑体" w:hAnsi="黑体" w:eastAsia="黑体" w:cs="黑体"/>
          <w:lang w:eastAsia="zh-CN"/>
        </w:rPr>
        <w:br w:type="page"/>
      </w:r>
    </w:p>
    <w:p w14:paraId="4C773619">
      <w:pPr>
        <w:pStyle w:val="16"/>
        <w:rPr>
          <w:rFonts w:hint="eastAsia" w:ascii="黑体" w:hAnsi="黑体" w:eastAsia="黑体" w:cs="黑体"/>
          <w:lang w:eastAsia="zh-CN"/>
        </w:rPr>
      </w:pPr>
    </w:p>
    <w:p w14:paraId="5335AE7A">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1752BA00">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1CB749E">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1DA18C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14F97A5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158D33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9E397B3">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02B6C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462CFE23">
        <w:tblPrEx>
          <w:tblCellMar>
            <w:top w:w="0" w:type="dxa"/>
            <w:left w:w="108" w:type="dxa"/>
            <w:bottom w:w="0" w:type="dxa"/>
            <w:right w:w="108" w:type="dxa"/>
          </w:tblCellMar>
        </w:tblPrEx>
        <w:trPr>
          <w:trHeight w:val="2799"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A791FDC">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3681FC9">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F8E84A1">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50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0E00C760">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满足招标文件要求且投标价格最低的投标报价为评标基准价，其价格分为满分。其他供应商的价格分统一按照下列公式计算：投标报价得分=(评标基准价÷投标报价)×50%×100；（最低价基准法）</w:t>
            </w:r>
          </w:p>
          <w:p w14:paraId="2525B7A8">
            <w:pPr>
              <w:rPr>
                <w:rFonts w:hint="eastAsia" w:ascii="仿宋" w:hAnsi="仿宋" w:eastAsia="仿宋" w:cs="仿宋"/>
                <w:kern w:val="1"/>
                <w:sz w:val="32"/>
                <w:szCs w:val="32"/>
                <w:lang w:val="en-US" w:eastAsia="zh-CN"/>
              </w:rPr>
            </w:pPr>
            <w:r>
              <w:rPr>
                <w:rFonts w:hint="eastAsia" w:ascii="仿宋" w:hAnsi="仿宋" w:eastAsia="仿宋" w:cs="仿宋"/>
                <w:color w:val="FF0000"/>
                <w:kern w:val="1"/>
                <w:sz w:val="32"/>
                <w:szCs w:val="32"/>
                <w:u w:val="single"/>
                <w:lang w:val="en-US" w:eastAsia="zh-CN"/>
              </w:rPr>
              <w:t>各供应商应按本院去年使用量合计报价。</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A2DA58E">
            <w:pPr>
              <w:spacing w:line="320" w:lineRule="atLeast"/>
              <w:jc w:val="center"/>
              <w:rPr>
                <w:rFonts w:hint="eastAsia" w:ascii="仿宋" w:hAnsi="仿宋" w:eastAsia="仿宋" w:cs="仿宋"/>
                <w:sz w:val="32"/>
                <w:szCs w:val="32"/>
              </w:rPr>
            </w:pPr>
          </w:p>
        </w:tc>
      </w:tr>
      <w:tr w14:paraId="795ECE3E">
        <w:tblPrEx>
          <w:tblCellMar>
            <w:top w:w="0" w:type="dxa"/>
            <w:left w:w="108" w:type="dxa"/>
            <w:bottom w:w="0" w:type="dxa"/>
            <w:right w:w="108" w:type="dxa"/>
          </w:tblCellMar>
        </w:tblPrEx>
        <w:trPr>
          <w:trHeight w:val="593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A007B6">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DC8546">
            <w:pPr>
              <w:spacing w:line="320" w:lineRule="atLeast"/>
              <w:jc w:val="center"/>
              <w:rPr>
                <w:rFonts w:hint="default" w:ascii="仿宋" w:hAnsi="仿宋" w:eastAsia="仿宋" w:cs="仿宋"/>
                <w:kern w:val="1"/>
                <w:sz w:val="32"/>
                <w:szCs w:val="32"/>
                <w:lang w:val="en-US"/>
              </w:rPr>
            </w:pPr>
            <w:r>
              <w:rPr>
                <w:rFonts w:hint="eastAsia" w:ascii="仿宋" w:hAnsi="仿宋" w:eastAsia="仿宋" w:cs="仿宋"/>
                <w:kern w:val="1"/>
                <w:sz w:val="32"/>
                <w:szCs w:val="32"/>
                <w:lang w:val="en-US" w:eastAsia="zh-CN"/>
              </w:rPr>
              <w:t>样品评价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DD5E2C6">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28</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62F5E9B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组织评价小组对所需样品进行评价：</w:t>
            </w:r>
          </w:p>
          <w:p w14:paraId="1CA0C59E">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包1：</w:t>
            </w:r>
          </w:p>
          <w:p w14:paraId="4CB394A8">
            <w:pPr>
              <w:numPr>
                <w:ilvl w:val="0"/>
                <w:numId w:val="1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灭菌包装（4分）</w:t>
            </w:r>
          </w:p>
          <w:p w14:paraId="721659A0">
            <w:pPr>
              <w:numPr>
                <w:ilvl w:val="0"/>
                <w:numId w:val="11"/>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产品性能：</w:t>
            </w:r>
          </w:p>
          <w:p w14:paraId="6D9D76ED">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对各样品的产品性能进行使用评价，如活检钳的力度、取样量，注射针的穿刺力度、顺畅度等，样品各4分，共16分</w:t>
            </w:r>
          </w:p>
          <w:p w14:paraId="4D025671">
            <w:pPr>
              <w:numPr>
                <w:ilvl w:val="0"/>
                <w:numId w:val="11"/>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操作便捷性（8分）</w:t>
            </w:r>
          </w:p>
          <w:p w14:paraId="0B887EDC">
            <w:pPr>
              <w:numPr>
                <w:ilvl w:val="0"/>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包2：</w:t>
            </w:r>
          </w:p>
          <w:p w14:paraId="78C53EBE">
            <w:pPr>
              <w:numPr>
                <w:ilvl w:val="0"/>
                <w:numId w:val="12"/>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灭菌包装（4分）</w:t>
            </w:r>
          </w:p>
          <w:p w14:paraId="3B3BDBF1">
            <w:pPr>
              <w:numPr>
                <w:ilvl w:val="0"/>
                <w:numId w:val="1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产品性能（16分）</w:t>
            </w:r>
          </w:p>
          <w:p w14:paraId="4F565D4E">
            <w:pPr>
              <w:numPr>
                <w:ilvl w:val="0"/>
                <w:numId w:val="0"/>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对产品穿刺力、抗位移能力、机械摆动空间、排气阀效率等方面进行使用评价。</w:t>
            </w:r>
          </w:p>
          <w:p w14:paraId="7A83CE48">
            <w:pPr>
              <w:numPr>
                <w:ilvl w:val="0"/>
                <w:numId w:val="12"/>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操作便捷性（8分）</w:t>
            </w:r>
          </w:p>
          <w:p w14:paraId="7180256A">
            <w:pPr>
              <w:numPr>
                <w:ilvl w:val="0"/>
                <w:numId w:val="0"/>
              </w:numPr>
              <w:rPr>
                <w:rFonts w:hint="default" w:ascii="仿宋" w:hAnsi="仿宋" w:eastAsia="仿宋" w:cs="仿宋"/>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26BAF0">
            <w:pPr>
              <w:spacing w:line="320" w:lineRule="atLeast"/>
              <w:jc w:val="center"/>
              <w:rPr>
                <w:rFonts w:hint="eastAsia" w:ascii="仿宋" w:hAnsi="仿宋" w:eastAsia="仿宋" w:cs="仿宋"/>
                <w:sz w:val="32"/>
                <w:szCs w:val="32"/>
              </w:rPr>
            </w:pPr>
          </w:p>
        </w:tc>
      </w:tr>
      <w:tr w14:paraId="76988B12">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7FCF6A">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E1C8920">
            <w:pPr>
              <w:spacing w:line="320" w:lineRule="atLeast"/>
              <w:jc w:val="center"/>
              <w:rPr>
                <w:rFonts w:hint="eastAsia" w:ascii="仿宋" w:hAnsi="仿宋" w:eastAsia="仿宋" w:cs="仿宋"/>
                <w:sz w:val="32"/>
                <w:szCs w:val="32"/>
              </w:rPr>
            </w:pPr>
          </w:p>
          <w:p w14:paraId="05377DEB">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14:paraId="55B3AFD1">
            <w:pPr>
              <w:spacing w:line="320" w:lineRule="atLeast"/>
              <w:jc w:val="center"/>
              <w:rPr>
                <w:rFonts w:hint="eastAsia" w:ascii="仿宋" w:hAnsi="仿宋" w:eastAsia="仿宋" w:cs="仿宋"/>
                <w:sz w:val="32"/>
                <w:szCs w:val="3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5EAB4D1">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22</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0986442">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①供货计划以投标文件为准。（包含但不限于产品出入库管理、配送流程）（5分）</w:t>
            </w:r>
          </w:p>
          <w:p w14:paraId="7A5D0C2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②产品质量保证措施（6分）；</w:t>
            </w:r>
          </w:p>
          <w:p w14:paraId="13E43ED6">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③退、换货处理方案（6分）；</w:t>
            </w:r>
          </w:p>
          <w:p w14:paraId="26D0B22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④售后服务人员配备及职责分工（5分）。</w:t>
            </w:r>
          </w:p>
          <w:p w14:paraId="40CB3FDF">
            <w:pPr>
              <w:rPr>
                <w:rFonts w:hint="default" w:ascii="仿宋" w:hAnsi="仿宋" w:eastAsia="仿宋" w:cs="仿宋"/>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F9A00D">
            <w:pPr>
              <w:spacing w:line="320" w:lineRule="atLeast"/>
              <w:jc w:val="center"/>
              <w:rPr>
                <w:rFonts w:hint="eastAsia" w:ascii="仿宋" w:hAnsi="仿宋" w:eastAsia="仿宋" w:cs="仿宋"/>
                <w:sz w:val="32"/>
                <w:szCs w:val="32"/>
              </w:rPr>
            </w:pPr>
          </w:p>
        </w:tc>
      </w:tr>
    </w:tbl>
    <w:p w14:paraId="56A884EA">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A2EC8"/>
    <w:multiLevelType w:val="singleLevel"/>
    <w:tmpl w:val="89AA2EC8"/>
    <w:lvl w:ilvl="0" w:tentative="0">
      <w:start w:val="1"/>
      <w:numFmt w:val="decimal"/>
      <w:lvlText w:val="%1."/>
      <w:lvlJc w:val="left"/>
      <w:pPr>
        <w:tabs>
          <w:tab w:val="left" w:pos="312"/>
        </w:tabs>
      </w:pPr>
    </w:lvl>
  </w:abstractNum>
  <w:abstractNum w:abstractNumId="1">
    <w:nsid w:val="949525B5"/>
    <w:multiLevelType w:val="singleLevel"/>
    <w:tmpl w:val="949525B5"/>
    <w:lvl w:ilvl="0" w:tentative="0">
      <w:start w:val="1"/>
      <w:numFmt w:val="decimal"/>
      <w:lvlText w:val="%1."/>
      <w:lvlJc w:val="left"/>
      <w:pPr>
        <w:tabs>
          <w:tab w:val="left" w:pos="312"/>
        </w:tabs>
      </w:pPr>
    </w:lvl>
  </w:abstractNum>
  <w:abstractNum w:abstractNumId="2">
    <w:nsid w:val="9E9F1423"/>
    <w:multiLevelType w:val="singleLevel"/>
    <w:tmpl w:val="9E9F1423"/>
    <w:lvl w:ilvl="0" w:tentative="0">
      <w:start w:val="1"/>
      <w:numFmt w:val="decimal"/>
      <w:lvlText w:val="%1."/>
      <w:lvlJc w:val="left"/>
      <w:pPr>
        <w:tabs>
          <w:tab w:val="left" w:pos="312"/>
        </w:tabs>
      </w:pPr>
    </w:lvl>
  </w:abstractNum>
  <w:abstractNum w:abstractNumId="3">
    <w:nsid w:val="C0B0FD13"/>
    <w:multiLevelType w:val="singleLevel"/>
    <w:tmpl w:val="C0B0FD13"/>
    <w:lvl w:ilvl="0" w:tentative="0">
      <w:start w:val="4"/>
      <w:numFmt w:val="chineseCounting"/>
      <w:suff w:val="space"/>
      <w:lvlText w:val="第%1章"/>
      <w:lvlJc w:val="left"/>
      <w:rPr>
        <w:rFonts w:hint="eastAsia"/>
      </w:rPr>
    </w:lvl>
  </w:abstractNum>
  <w:abstractNum w:abstractNumId="4">
    <w:nsid w:val="C45F5704"/>
    <w:multiLevelType w:val="singleLevel"/>
    <w:tmpl w:val="C45F5704"/>
    <w:lvl w:ilvl="0" w:tentative="0">
      <w:start w:val="1"/>
      <w:numFmt w:val="chineseCounting"/>
      <w:suff w:val="nothing"/>
      <w:lvlText w:val="%1、"/>
      <w:lvlJc w:val="left"/>
      <w:rPr>
        <w:rFonts w:hint="eastAsia"/>
      </w:rPr>
    </w:lvl>
  </w:abstractNum>
  <w:abstractNum w:abstractNumId="5">
    <w:nsid w:val="CC173272"/>
    <w:multiLevelType w:val="singleLevel"/>
    <w:tmpl w:val="CC173272"/>
    <w:lvl w:ilvl="0" w:tentative="0">
      <w:start w:val="1"/>
      <w:numFmt w:val="decimal"/>
      <w:lvlText w:val="%1."/>
      <w:lvlJc w:val="left"/>
      <w:pPr>
        <w:tabs>
          <w:tab w:val="left" w:pos="312"/>
        </w:tabs>
      </w:pPr>
    </w:lvl>
  </w:abstractNum>
  <w:abstractNum w:abstractNumId="6">
    <w:nsid w:val="CF30E4E8"/>
    <w:multiLevelType w:val="singleLevel"/>
    <w:tmpl w:val="CF30E4E8"/>
    <w:lvl w:ilvl="0" w:tentative="0">
      <w:start w:val="1"/>
      <w:numFmt w:val="decimal"/>
      <w:suff w:val="nothing"/>
      <w:lvlText w:val="（%1）"/>
      <w:lvlJc w:val="left"/>
    </w:lvl>
  </w:abstractNum>
  <w:abstractNum w:abstractNumId="7">
    <w:nsid w:val="051A483A"/>
    <w:multiLevelType w:val="singleLevel"/>
    <w:tmpl w:val="051A483A"/>
    <w:lvl w:ilvl="0" w:tentative="0">
      <w:start w:val="1"/>
      <w:numFmt w:val="decimal"/>
      <w:lvlText w:val="%1."/>
      <w:lvlJc w:val="left"/>
      <w:pPr>
        <w:tabs>
          <w:tab w:val="left" w:pos="312"/>
        </w:tabs>
      </w:pPr>
    </w:lvl>
  </w:abstractNum>
  <w:abstractNum w:abstractNumId="8">
    <w:nsid w:val="0A193215"/>
    <w:multiLevelType w:val="singleLevel"/>
    <w:tmpl w:val="0A193215"/>
    <w:lvl w:ilvl="0" w:tentative="0">
      <w:start w:val="1"/>
      <w:numFmt w:val="decimal"/>
      <w:lvlText w:val="%1."/>
      <w:lvlJc w:val="left"/>
      <w:pPr>
        <w:tabs>
          <w:tab w:val="left" w:pos="312"/>
        </w:tabs>
      </w:pPr>
    </w:lvl>
  </w:abstractNum>
  <w:abstractNum w:abstractNumId="9">
    <w:nsid w:val="1D6A547E"/>
    <w:multiLevelType w:val="singleLevel"/>
    <w:tmpl w:val="1D6A547E"/>
    <w:lvl w:ilvl="0" w:tentative="0">
      <w:start w:val="1"/>
      <w:numFmt w:val="decimal"/>
      <w:suff w:val="nothing"/>
      <w:lvlText w:val="%1、"/>
      <w:lvlJc w:val="left"/>
      <w:pPr>
        <w:ind w:left="210"/>
      </w:pPr>
    </w:lvl>
  </w:abstractNum>
  <w:abstractNum w:abstractNumId="10">
    <w:nsid w:val="4E524937"/>
    <w:multiLevelType w:val="singleLevel"/>
    <w:tmpl w:val="4E524937"/>
    <w:lvl w:ilvl="0" w:tentative="0">
      <w:start w:val="1"/>
      <w:numFmt w:val="decimal"/>
      <w:lvlText w:val="%1."/>
      <w:lvlJc w:val="left"/>
      <w:pPr>
        <w:tabs>
          <w:tab w:val="left" w:pos="312"/>
        </w:tabs>
      </w:pPr>
    </w:lvl>
  </w:abstractNum>
  <w:abstractNum w:abstractNumId="11">
    <w:nsid w:val="7B90FEA1"/>
    <w:multiLevelType w:val="singleLevel"/>
    <w:tmpl w:val="7B90FEA1"/>
    <w:lvl w:ilvl="0" w:tentative="0">
      <w:start w:val="1"/>
      <w:numFmt w:val="decimal"/>
      <w:lvlText w:val="%1."/>
      <w:lvlJc w:val="left"/>
      <w:pPr>
        <w:tabs>
          <w:tab w:val="left" w:pos="312"/>
        </w:tabs>
      </w:pPr>
    </w:lvl>
  </w:abstractNum>
  <w:num w:numId="1">
    <w:abstractNumId w:val="4"/>
  </w:num>
  <w:num w:numId="2">
    <w:abstractNumId w:val="3"/>
  </w:num>
  <w:num w:numId="3">
    <w:abstractNumId w:val="2"/>
  </w:num>
  <w:num w:numId="4">
    <w:abstractNumId w:val="11"/>
  </w:num>
  <w:num w:numId="5">
    <w:abstractNumId w:val="5"/>
  </w:num>
  <w:num w:numId="6">
    <w:abstractNumId w:val="8"/>
  </w:num>
  <w:num w:numId="7">
    <w:abstractNumId w:val="0"/>
  </w:num>
  <w:num w:numId="8">
    <w:abstractNumId w:val="7"/>
  </w:num>
  <w:num w:numId="9">
    <w:abstractNumId w:val="9"/>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7921C3"/>
    <w:rsid w:val="0892424A"/>
    <w:rsid w:val="08A100E8"/>
    <w:rsid w:val="08D706EB"/>
    <w:rsid w:val="09281C73"/>
    <w:rsid w:val="092B0852"/>
    <w:rsid w:val="099C0C65"/>
    <w:rsid w:val="09CF2980"/>
    <w:rsid w:val="0A5766D2"/>
    <w:rsid w:val="0B481B96"/>
    <w:rsid w:val="0B5B6EA7"/>
    <w:rsid w:val="0B9B184D"/>
    <w:rsid w:val="0BBF2600"/>
    <w:rsid w:val="0C3E61B9"/>
    <w:rsid w:val="0DA12370"/>
    <w:rsid w:val="0DBF0EC4"/>
    <w:rsid w:val="0DE35915"/>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765541"/>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577691"/>
    <w:rsid w:val="31AE2E30"/>
    <w:rsid w:val="32145B6C"/>
    <w:rsid w:val="32482F63"/>
    <w:rsid w:val="32887A79"/>
    <w:rsid w:val="3367096B"/>
    <w:rsid w:val="34015BA1"/>
    <w:rsid w:val="34104944"/>
    <w:rsid w:val="34607C42"/>
    <w:rsid w:val="34AD3121"/>
    <w:rsid w:val="35850C85"/>
    <w:rsid w:val="358537EA"/>
    <w:rsid w:val="36127662"/>
    <w:rsid w:val="36206E51"/>
    <w:rsid w:val="3645059F"/>
    <w:rsid w:val="36FA0C0E"/>
    <w:rsid w:val="37564C34"/>
    <w:rsid w:val="37AF0C3F"/>
    <w:rsid w:val="381338B3"/>
    <w:rsid w:val="387820A1"/>
    <w:rsid w:val="391D2725"/>
    <w:rsid w:val="39241426"/>
    <w:rsid w:val="398D5731"/>
    <w:rsid w:val="3A0A5821"/>
    <w:rsid w:val="3ADC539A"/>
    <w:rsid w:val="3AE30FAC"/>
    <w:rsid w:val="3B3A67B9"/>
    <w:rsid w:val="3B572D45"/>
    <w:rsid w:val="3B65061B"/>
    <w:rsid w:val="3BB47094"/>
    <w:rsid w:val="3BD82555"/>
    <w:rsid w:val="3C396CD8"/>
    <w:rsid w:val="3C5A58BF"/>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2530EC"/>
    <w:rsid w:val="5446604D"/>
    <w:rsid w:val="547E1AE0"/>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26070DF"/>
    <w:rsid w:val="62B86D17"/>
    <w:rsid w:val="62C824CA"/>
    <w:rsid w:val="635F68CB"/>
    <w:rsid w:val="637C4EB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5111E8"/>
    <w:rsid w:val="78E831F4"/>
    <w:rsid w:val="79894B12"/>
    <w:rsid w:val="79AC141B"/>
    <w:rsid w:val="79B51E35"/>
    <w:rsid w:val="79EA27D4"/>
    <w:rsid w:val="7A330C0C"/>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Pages>
  <Words>7125</Words>
  <Characters>7496</Characters>
  <Lines>0</Lines>
  <Paragraphs>0</Paragraphs>
  <TotalTime>4</TotalTime>
  <ScaleCrop>false</ScaleCrop>
  <LinksUpToDate>false</LinksUpToDate>
  <CharactersWithSpaces>7703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2025-08-20T00:45:42Z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C05AC66741D34244BB6A4484CA91A2FC_13</vt:lpwstr>
  </property>
  <property fmtid="{D5CDD505-2E9C-101B-9397-08002B2CF9AE}" pid="4" name="KSOTemplateDocerSaveRecord">
    <vt:lpwstr>eyJoZGlkIjoiYjJmZmFmMGFkNTkxMTc3Y2Q4ODdmNWVhNTFmYjU5MjciLCJ1c2VySWQiOiIxMjE4MTQ0Nzk4In0=</vt:lpwstr>
  </property>
</Properties>
</file>