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46292">
      <w:pPr>
        <w:jc w:val="center"/>
        <w:rPr>
          <w:rFonts w:hint="eastAsia" w:ascii="黑体" w:hAnsi="黑体" w:eastAsia="黑体" w:cs="黑体"/>
          <w:sz w:val="36"/>
          <w:szCs w:val="36"/>
        </w:rPr>
      </w:pPr>
      <w:r>
        <w:rPr>
          <w:rFonts w:hint="eastAsia" w:ascii="黑体" w:hAnsi="黑体" w:eastAsia="黑体" w:cs="黑体"/>
          <w:sz w:val="36"/>
          <w:szCs w:val="36"/>
        </w:rPr>
        <w:t>乐山市五通桥区</w:t>
      </w:r>
      <w:bookmarkStart w:id="0" w:name="OLE_LINK1"/>
      <w:r>
        <w:rPr>
          <w:rFonts w:hint="eastAsia" w:ascii="黑体" w:hAnsi="黑体" w:eastAsia="黑体" w:cs="黑体"/>
          <w:sz w:val="36"/>
          <w:szCs w:val="36"/>
          <w:lang w:eastAsia="zh-CN"/>
        </w:rPr>
        <w:t>紧密型</w:t>
      </w:r>
      <w:r>
        <w:rPr>
          <w:rFonts w:hint="eastAsia" w:ascii="黑体" w:hAnsi="黑体" w:eastAsia="黑体" w:cs="黑体"/>
          <w:sz w:val="36"/>
          <w:szCs w:val="36"/>
        </w:rPr>
        <w:t>城市医疗集团</w:t>
      </w:r>
    </w:p>
    <w:p w14:paraId="3966F631">
      <w:pPr>
        <w:jc w:val="center"/>
        <w:rPr>
          <w:rFonts w:hint="eastAsia" w:ascii="黑体" w:hAnsi="黑体" w:eastAsia="黑体" w:cs="黑体"/>
          <w:sz w:val="36"/>
          <w:szCs w:val="36"/>
        </w:rPr>
      </w:pPr>
      <w:r>
        <w:rPr>
          <w:rFonts w:hint="eastAsia" w:ascii="黑体" w:hAnsi="黑体" w:eastAsia="黑体" w:cs="黑体"/>
          <w:sz w:val="36"/>
          <w:szCs w:val="36"/>
        </w:rPr>
        <w:t>冠英镇卫生院</w:t>
      </w:r>
      <w:bookmarkEnd w:id="0"/>
      <w:r>
        <w:rPr>
          <w:rFonts w:hint="eastAsia" w:ascii="黑体" w:hAnsi="黑体" w:eastAsia="黑体" w:cs="黑体"/>
          <w:sz w:val="36"/>
          <w:szCs w:val="36"/>
        </w:rPr>
        <w:t>医疗设备采购公告</w:t>
      </w:r>
    </w:p>
    <w:p w14:paraId="316A49E2">
      <w:pPr>
        <w:widowControl/>
        <w:jc w:val="left"/>
        <w:rPr>
          <w:rFonts w:hint="eastAsia" w:ascii="黑体" w:hAnsi="黑体" w:eastAsia="黑体" w:cs="黑体"/>
          <w:kern w:val="0"/>
          <w:sz w:val="28"/>
          <w:szCs w:val="28"/>
        </w:rPr>
      </w:pPr>
    </w:p>
    <w:p w14:paraId="5E6B71F2">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一、采购项目名称：乐山市五通桥区</w:t>
      </w:r>
      <w:r>
        <w:rPr>
          <w:rFonts w:hint="eastAsia" w:ascii="仿宋" w:hAnsi="仿宋" w:eastAsia="仿宋" w:cs="仿宋"/>
          <w:kern w:val="0"/>
          <w:sz w:val="32"/>
          <w:szCs w:val="32"/>
          <w:lang w:eastAsia="zh-CN"/>
        </w:rPr>
        <w:t>紧密型</w:t>
      </w:r>
      <w:r>
        <w:rPr>
          <w:rFonts w:hint="eastAsia" w:ascii="仿宋" w:hAnsi="仿宋" w:eastAsia="仿宋" w:cs="仿宋"/>
          <w:kern w:val="0"/>
          <w:sz w:val="32"/>
          <w:szCs w:val="32"/>
        </w:rPr>
        <w:t xml:space="preserve">城市医疗集团冠英镇卫生院医疗设备采购   </w:t>
      </w:r>
    </w:p>
    <w:p w14:paraId="1CBFCB08">
      <w:pPr>
        <w:widowControl/>
        <w:ind w:firstLine="1280" w:firstLineChars="4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项目采购编号：YLJT20251104 </w:t>
      </w:r>
    </w:p>
    <w:p w14:paraId="4316EA8A">
      <w:pPr>
        <w:widowControl/>
        <w:ind w:firstLine="1280" w:firstLineChars="4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项目采购限价: 15.5万元   </w:t>
      </w:r>
    </w:p>
    <w:p w14:paraId="3A380E4D">
      <w:pPr>
        <w:widowControl/>
        <w:ind w:firstLine="1280" w:firstLineChars="400"/>
        <w:jc w:val="left"/>
        <w:rPr>
          <w:rFonts w:hint="eastAsia" w:ascii="仿宋" w:hAnsi="仿宋" w:eastAsia="仿宋" w:cs="仿宋"/>
          <w:kern w:val="0"/>
          <w:sz w:val="32"/>
          <w:szCs w:val="32"/>
        </w:rPr>
      </w:pPr>
      <w:r>
        <w:rPr>
          <w:rFonts w:hint="eastAsia" w:ascii="仿宋" w:hAnsi="仿宋" w:eastAsia="仿宋" w:cs="仿宋"/>
          <w:kern w:val="0"/>
          <w:sz w:val="32"/>
          <w:szCs w:val="32"/>
        </w:rPr>
        <w:t>项目技术参数及商务要求（详细要求请看附件）：</w:t>
      </w:r>
    </w:p>
    <w:p w14:paraId="2192F887">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2A143E89">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三、供应商参加本次采购活动需要提交的资料：</w:t>
      </w:r>
    </w:p>
    <w:p w14:paraId="3BE4382E">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517E6321">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2.提交资料应按照采购文件中的承诺函、廉洁承诺书、采购资质要求、技术及商务要求提供2套。</w:t>
      </w:r>
    </w:p>
    <w:p w14:paraId="7BAC81A4">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3.报价以及资料，采购响应文件封面请注明项目名称、联系人、联系电话、自行密封并加盖公章。</w:t>
      </w:r>
    </w:p>
    <w:p w14:paraId="69F4E5A8">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4.请满足上述资质要求的供应商于2025年12 月</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日17:00之前将资料送至乐山市五通桥区人民医院采购中心2（行政楼三楼），在</w:t>
      </w:r>
      <w:r>
        <w:rPr>
          <w:rFonts w:hint="eastAsia" w:ascii="仿宋" w:hAnsi="仿宋" w:eastAsia="仿宋" w:cs="仿宋"/>
          <w:kern w:val="0"/>
          <w:sz w:val="32"/>
          <w:szCs w:val="32"/>
          <w:lang w:eastAsia="zh-CN"/>
        </w:rPr>
        <w:t>截止</w:t>
      </w:r>
      <w:r>
        <w:rPr>
          <w:rFonts w:hint="eastAsia" w:ascii="仿宋" w:hAnsi="仿宋" w:eastAsia="仿宋" w:cs="仿宋"/>
          <w:kern w:val="0"/>
          <w:sz w:val="32"/>
          <w:szCs w:val="32"/>
        </w:rPr>
        <w:t>时间以后送到的响应文件将被拒绝并退还给供应商。</w:t>
      </w:r>
    </w:p>
    <w:p w14:paraId="43A30814">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四、其他要求（参加采购的供应商视为全部接受以下条款）</w:t>
      </w:r>
    </w:p>
    <w:p w14:paraId="3A1E1B36">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1.方案报价在30日内有效，报价包括供应商履约过程中的服务费、人工、差旅、保险、税金与供应商履约所需要的其他所有费用。</w:t>
      </w:r>
    </w:p>
    <w:p w14:paraId="4DE0DC22">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2.在供应商满足相关资质要求及服务要求的条件下，采购采用</w:t>
      </w:r>
      <w:r>
        <w:rPr>
          <w:rFonts w:hint="eastAsia" w:ascii="仿宋" w:hAnsi="仿宋" w:eastAsia="仿宋" w:cs="仿宋"/>
          <w:sz w:val="32"/>
          <w:szCs w:val="32"/>
        </w:rPr>
        <w:t>综合评分法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一次报价</w:t>
      </w:r>
      <w:r>
        <w:rPr>
          <w:rFonts w:hint="eastAsia" w:ascii="仿宋" w:hAnsi="仿宋" w:eastAsia="仿宋" w:cs="仿宋"/>
          <w:sz w:val="32"/>
          <w:szCs w:val="32"/>
          <w:lang w:eastAsia="zh-CN"/>
        </w:rPr>
        <w:t>）</w:t>
      </w:r>
      <w:r>
        <w:rPr>
          <w:rFonts w:hint="eastAsia" w:ascii="仿宋" w:hAnsi="仿宋" w:eastAsia="仿宋" w:cs="仿宋"/>
          <w:kern w:val="0"/>
          <w:sz w:val="32"/>
          <w:szCs w:val="32"/>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643410F1">
      <w:pPr>
        <w:pStyle w:val="2"/>
        <w:ind w:firstLine="320"/>
        <w:rPr>
          <w:rFonts w:hint="eastAsia" w:ascii="仿宋" w:hAnsi="仿宋" w:eastAsia="仿宋" w:cs="仿宋"/>
          <w:sz w:val="32"/>
          <w:szCs w:val="32"/>
        </w:rPr>
      </w:pPr>
      <w:r>
        <w:rPr>
          <w:rFonts w:hint="eastAsia" w:ascii="仿宋" w:hAnsi="仿宋" w:eastAsia="仿宋" w:cs="仿宋"/>
          <w:kern w:val="0"/>
          <w:sz w:val="32"/>
          <w:szCs w:val="32"/>
        </w:rPr>
        <w:t xml:space="preserve">  3.本项目不接受联合体，不允许分包。</w:t>
      </w:r>
    </w:p>
    <w:p w14:paraId="0812B33F">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采购联系人:李老师       联系电话:0833-3189923</w:t>
      </w:r>
    </w:p>
    <w:p w14:paraId="0F3B861F">
      <w:pPr>
        <w:pStyle w:val="6"/>
        <w:jc w:val="center"/>
      </w:pPr>
      <w:r>
        <w:rPr>
          <w:rFonts w:hint="eastAsia" w:ascii="黑体" w:hAnsi="黑体" w:eastAsia="黑体" w:cs="黑体"/>
          <w:b/>
          <w:sz w:val="36"/>
          <w:szCs w:val="36"/>
        </w:rPr>
        <w:t>第二章  采购须知</w:t>
      </w:r>
    </w:p>
    <w:p w14:paraId="10761EE9">
      <w:pPr>
        <w:pStyle w:val="30"/>
        <w:rPr>
          <w:color w:val="auto"/>
        </w:rPr>
      </w:pPr>
    </w:p>
    <w:p w14:paraId="62EA81DF">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一、院内采购总则</w:t>
      </w:r>
    </w:p>
    <w:p w14:paraId="5D1B01F7">
      <w:pPr>
        <w:ind w:firstLine="640" w:firstLineChars="200"/>
        <w:rPr>
          <w:rFonts w:hint="eastAsia" w:ascii="仿宋" w:hAnsi="仿宋" w:eastAsia="仿宋" w:cs="仿宋"/>
          <w:sz w:val="32"/>
          <w:szCs w:val="32"/>
        </w:rPr>
      </w:pPr>
      <w:r>
        <w:rPr>
          <w:rFonts w:hint="eastAsia" w:ascii="仿宋" w:hAnsi="仿宋" w:eastAsia="仿宋" w:cs="仿宋"/>
          <w:sz w:val="32"/>
          <w:szCs w:val="32"/>
        </w:rPr>
        <w:t>1.本采购项目参照《中华人民共和国政府采购法》《四川省政府采购非招标采购方式实施办法》等有关法律、法规和规章，通过综合评分法的方式确定成交供应商。</w:t>
      </w:r>
    </w:p>
    <w:p w14:paraId="1B736058">
      <w:pPr>
        <w:ind w:firstLine="640" w:firstLineChars="200"/>
        <w:rPr>
          <w:rFonts w:hint="eastAsia" w:ascii="仿宋" w:hAnsi="仿宋" w:eastAsia="仿宋" w:cs="仿宋"/>
          <w:sz w:val="32"/>
          <w:szCs w:val="32"/>
        </w:rPr>
      </w:pPr>
      <w:r>
        <w:rPr>
          <w:rFonts w:hint="eastAsia" w:ascii="仿宋" w:hAnsi="仿宋" w:eastAsia="仿宋" w:cs="仿宋"/>
          <w:sz w:val="32"/>
          <w:szCs w:val="32"/>
        </w:rPr>
        <w:t>2.本项目采购范围包括价格、质量、服务等方面内容，交货时间在合同中约定。</w:t>
      </w:r>
    </w:p>
    <w:p w14:paraId="61BDC861">
      <w:pPr>
        <w:ind w:firstLine="640" w:firstLineChars="200"/>
        <w:rPr>
          <w:rFonts w:hint="eastAsia" w:ascii="仿宋" w:hAnsi="仿宋" w:eastAsia="仿宋" w:cs="仿宋"/>
          <w:sz w:val="32"/>
          <w:szCs w:val="32"/>
        </w:rPr>
      </w:pPr>
      <w:r>
        <w:rPr>
          <w:rFonts w:hint="eastAsia" w:ascii="仿宋" w:hAnsi="仿宋" w:eastAsia="仿宋" w:cs="仿宋"/>
          <w:sz w:val="32"/>
          <w:szCs w:val="32"/>
        </w:rPr>
        <w:t>3.本采购项目最低要求：符合资质条件、技术参数及商务要求且报价不超过最高限价。</w:t>
      </w:r>
    </w:p>
    <w:p w14:paraId="69C26631">
      <w:pPr>
        <w:ind w:firstLine="640" w:firstLineChars="200"/>
        <w:rPr>
          <w:rFonts w:hint="eastAsia" w:ascii="仿宋" w:hAnsi="仿宋" w:eastAsia="仿宋" w:cs="仿宋"/>
          <w:sz w:val="32"/>
          <w:szCs w:val="32"/>
        </w:rPr>
      </w:pPr>
      <w:r>
        <w:rPr>
          <w:rFonts w:hint="eastAsia" w:ascii="仿宋" w:hAnsi="仿宋" w:eastAsia="仿宋" w:cs="仿宋"/>
          <w:sz w:val="32"/>
          <w:szCs w:val="32"/>
        </w:rPr>
        <w:t>4.供应商自行承担本项目采购活动所发生现场踏勘、标书制作等费用。</w:t>
      </w:r>
    </w:p>
    <w:p w14:paraId="317CC3A3">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二、采购响应文件的编制</w:t>
      </w:r>
    </w:p>
    <w:p w14:paraId="4D6286A1">
      <w:pPr>
        <w:ind w:firstLine="640" w:firstLineChars="200"/>
        <w:rPr>
          <w:rFonts w:hint="eastAsia" w:ascii="仿宋" w:hAnsi="仿宋" w:eastAsia="仿宋" w:cs="仿宋"/>
          <w:sz w:val="32"/>
          <w:szCs w:val="32"/>
        </w:rPr>
      </w:pPr>
      <w:r>
        <w:rPr>
          <w:rFonts w:hint="eastAsia" w:ascii="仿宋" w:hAnsi="仿宋" w:eastAsia="仿宋" w:cs="仿宋"/>
          <w:sz w:val="32"/>
          <w:szCs w:val="32"/>
        </w:rPr>
        <w:t>1.采购响应文件的密封：须提供标书一份，密封于一个包装袋内，封口处加盖单位鲜章，封面须注明：“项目名称：        ”，“项目编号：     ”，“于   年  月  日  时  分前不得拆封”等字样。未按询价文件要求密封的响应文件将被拒收。</w:t>
      </w:r>
    </w:p>
    <w:p w14:paraId="565E4B9A">
      <w:pPr>
        <w:ind w:firstLine="640" w:firstLineChars="200"/>
        <w:rPr>
          <w:rFonts w:hint="eastAsia" w:ascii="仿宋" w:hAnsi="仿宋" w:eastAsia="仿宋" w:cs="仿宋"/>
          <w:sz w:val="32"/>
          <w:szCs w:val="32"/>
        </w:rPr>
      </w:pPr>
      <w:r>
        <w:rPr>
          <w:rFonts w:hint="eastAsia" w:ascii="仿宋" w:hAnsi="仿宋" w:eastAsia="仿宋" w:cs="仿宋"/>
          <w:sz w:val="32"/>
          <w:szCs w:val="32"/>
        </w:rPr>
        <w:t>2.采购响应文件分正（副）本装订，一正</w:t>
      </w:r>
      <w:r>
        <w:rPr>
          <w:rFonts w:hint="eastAsia" w:ascii="仿宋" w:hAnsi="仿宋" w:eastAsia="仿宋" w:cs="仿宋"/>
          <w:sz w:val="32"/>
          <w:szCs w:val="32"/>
          <w:lang w:eastAsia="zh-Hans"/>
        </w:rPr>
        <w:t>一</w:t>
      </w:r>
      <w:r>
        <w:rPr>
          <w:rFonts w:hint="eastAsia" w:ascii="仿宋" w:hAnsi="仿宋" w:eastAsia="仿宋" w:cs="仿宋"/>
          <w:sz w:val="32"/>
          <w:szCs w:val="32"/>
        </w:rPr>
        <w:t>副，须用A4幅面纸张打印装订。</w:t>
      </w:r>
    </w:p>
    <w:p w14:paraId="51D7A84A">
      <w:pPr>
        <w:ind w:firstLine="640" w:firstLineChars="200"/>
        <w:rPr>
          <w:rFonts w:hint="eastAsia" w:ascii="仿宋" w:hAnsi="仿宋" w:eastAsia="仿宋" w:cs="仿宋"/>
          <w:sz w:val="32"/>
          <w:szCs w:val="32"/>
        </w:rPr>
      </w:pPr>
      <w:r>
        <w:rPr>
          <w:rFonts w:hint="eastAsia" w:ascii="仿宋" w:hAnsi="仿宋" w:eastAsia="仿宋" w:cs="仿宋"/>
          <w:sz w:val="32"/>
          <w:szCs w:val="32"/>
        </w:rPr>
        <w:t>3.采购响应文件的打印和书写应清楚工整，签字确认并加盖公章，否则无效。供应商为法人的，应当由其法定代表人或者代理人签字确认。</w:t>
      </w:r>
    </w:p>
    <w:p w14:paraId="5790E8A9">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三、院内采购会议的召开</w:t>
      </w:r>
    </w:p>
    <w:p w14:paraId="1DF978B9">
      <w:pPr>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院内采购会议顺序:</w:t>
      </w:r>
    </w:p>
    <w:p w14:paraId="1F2F4389">
      <w:pPr>
        <w:ind w:firstLine="640" w:firstLineChars="200"/>
        <w:rPr>
          <w:rFonts w:hint="eastAsia" w:ascii="仿宋" w:hAnsi="仿宋" w:eastAsia="仿宋" w:cs="仿宋"/>
          <w:sz w:val="32"/>
          <w:szCs w:val="32"/>
        </w:rPr>
      </w:pPr>
      <w:r>
        <w:rPr>
          <w:rFonts w:hint="eastAsia" w:ascii="仿宋" w:hAnsi="仿宋" w:eastAsia="仿宋" w:cs="仿宋"/>
          <w:sz w:val="32"/>
          <w:szCs w:val="32"/>
        </w:rPr>
        <w:t>1.院内采购由采购办主持；</w:t>
      </w:r>
    </w:p>
    <w:p w14:paraId="3D604AB7">
      <w:pPr>
        <w:ind w:firstLine="640" w:firstLineChars="200"/>
        <w:rPr>
          <w:rFonts w:hint="eastAsia" w:ascii="仿宋" w:hAnsi="仿宋" w:eastAsia="仿宋" w:cs="仿宋"/>
          <w:sz w:val="32"/>
          <w:szCs w:val="32"/>
        </w:rPr>
      </w:pPr>
      <w:r>
        <w:rPr>
          <w:rFonts w:hint="eastAsia" w:ascii="仿宋" w:hAnsi="仿宋" w:eastAsia="仿宋" w:cs="仿宋"/>
          <w:sz w:val="32"/>
          <w:szCs w:val="32"/>
        </w:rPr>
        <w:t>2.由监督人员检查采购响应文件密封情况；</w:t>
      </w:r>
    </w:p>
    <w:p w14:paraId="56483901">
      <w:pPr>
        <w:ind w:firstLine="640" w:firstLineChars="200"/>
        <w:rPr>
          <w:rFonts w:hint="eastAsia" w:ascii="仿宋" w:hAnsi="仿宋" w:eastAsia="仿宋" w:cs="仿宋"/>
          <w:sz w:val="32"/>
          <w:szCs w:val="32"/>
        </w:rPr>
      </w:pPr>
      <w:r>
        <w:rPr>
          <w:rFonts w:hint="eastAsia" w:ascii="仿宋" w:hAnsi="仿宋" w:eastAsia="仿宋" w:cs="仿宋"/>
          <w:sz w:val="32"/>
          <w:szCs w:val="32"/>
        </w:rPr>
        <w:t>3.将符合密封要求的资格、技术商务、报价响应文件送评审小组评审；</w:t>
      </w:r>
    </w:p>
    <w:p w14:paraId="5879E50C">
      <w:pPr>
        <w:pStyle w:val="8"/>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4.采购结束后，由评审小组根据报价情况，推荐成交候选供应商。</w:t>
      </w:r>
    </w:p>
    <w:p w14:paraId="22300F6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四、质疑提出与答复</w:t>
      </w:r>
    </w:p>
    <w:p w14:paraId="3D5AF3C3">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rPr>
        <w:t>受理联系人及联系方式见公告</w:t>
      </w:r>
      <w:r>
        <w:rPr>
          <w:rFonts w:hint="eastAsia" w:ascii="仿宋" w:hAnsi="仿宋" w:eastAsia="仿宋" w:cs="仿宋"/>
          <w:sz w:val="32"/>
          <w:szCs w:val="32"/>
        </w:rPr>
        <w:t>采购办</w:t>
      </w:r>
      <w:r>
        <w:rPr>
          <w:rFonts w:hint="eastAsia" w:ascii="仿宋" w:hAnsi="仿宋" w:eastAsia="仿宋" w:cs="仿宋"/>
          <w:sz w:val="32"/>
          <w:szCs w:val="32"/>
          <w:lang w:val="zh-CN"/>
        </w:rPr>
        <w:t>联系人。</w:t>
      </w:r>
    </w:p>
    <w:p w14:paraId="7C07871C">
      <w:pPr>
        <w:rPr>
          <w:rFonts w:hint="eastAsia" w:ascii="黑体" w:hAnsi="黑体" w:eastAsia="黑体" w:cs="黑体"/>
          <w:b/>
          <w:bCs/>
          <w:sz w:val="44"/>
          <w:szCs w:val="44"/>
        </w:rPr>
      </w:pPr>
      <w:r>
        <w:rPr>
          <w:rFonts w:hint="eastAsia" w:ascii="黑体" w:hAnsi="黑体" w:eastAsia="黑体" w:cs="黑体"/>
          <w:b/>
          <w:bCs/>
          <w:sz w:val="44"/>
          <w:szCs w:val="44"/>
        </w:rPr>
        <w:br w:type="page"/>
      </w:r>
    </w:p>
    <w:p w14:paraId="710DFF9C">
      <w:pPr>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第三章  采购程序和成交标准</w:t>
      </w:r>
    </w:p>
    <w:p w14:paraId="0B004929">
      <w:pPr>
        <w:ind w:firstLine="640" w:firstLineChars="200"/>
        <w:rPr>
          <w:rFonts w:hint="eastAsia" w:ascii="仿宋" w:hAnsi="仿宋" w:eastAsia="仿宋" w:cs="仿宋"/>
          <w:sz w:val="32"/>
          <w:szCs w:val="32"/>
        </w:rPr>
      </w:pPr>
    </w:p>
    <w:p w14:paraId="7D54CC64">
      <w:pPr>
        <w:ind w:firstLine="640" w:firstLineChars="200"/>
        <w:rPr>
          <w:rFonts w:hint="eastAsia" w:ascii="仿宋" w:hAnsi="仿宋" w:eastAsia="仿宋" w:cs="仿宋"/>
          <w:sz w:val="32"/>
          <w:szCs w:val="32"/>
        </w:rPr>
      </w:pPr>
      <w:r>
        <w:rPr>
          <w:rFonts w:hint="eastAsia" w:ascii="仿宋" w:hAnsi="仿宋" w:eastAsia="仿宋" w:cs="仿宋"/>
          <w:sz w:val="32"/>
          <w:szCs w:val="32"/>
        </w:rPr>
        <w:t>采购办将根据采购邀请中规定的递交文件截止时间前接受供应商响应文件，并按以下程序组织采购：</w:t>
      </w:r>
    </w:p>
    <w:p w14:paraId="5968216A">
      <w:pPr>
        <w:ind w:firstLine="640" w:firstLineChars="200"/>
        <w:rPr>
          <w:rFonts w:hint="eastAsia" w:ascii="仿宋" w:hAnsi="仿宋" w:eastAsia="仿宋" w:cs="仿宋"/>
          <w:sz w:val="32"/>
          <w:szCs w:val="32"/>
        </w:rPr>
      </w:pPr>
      <w:r>
        <w:rPr>
          <w:rFonts w:hint="eastAsia" w:ascii="仿宋" w:hAnsi="仿宋" w:eastAsia="仿宋" w:cs="仿宋"/>
          <w:sz w:val="32"/>
          <w:szCs w:val="32"/>
        </w:rPr>
        <w:t>一、组织采购评审对供应商递交的响应文件进行资格审查和符合性审查。</w:t>
      </w:r>
    </w:p>
    <w:p w14:paraId="36F59489">
      <w:pPr>
        <w:ind w:firstLine="640" w:firstLineChars="200"/>
        <w:rPr>
          <w:rFonts w:hint="eastAsia" w:ascii="仿宋" w:hAnsi="仿宋" w:eastAsia="仿宋" w:cs="仿宋"/>
          <w:sz w:val="32"/>
          <w:szCs w:val="32"/>
        </w:rPr>
      </w:pPr>
      <w:r>
        <w:rPr>
          <w:rFonts w:hint="eastAsia" w:ascii="仿宋" w:hAnsi="仿宋" w:eastAsia="仿宋" w:cs="仿宋"/>
          <w:sz w:val="32"/>
          <w:szCs w:val="32"/>
        </w:rPr>
        <w:t>二、通过资格审查和符合性审查供应商数量不足三家的，本次采购活动终止。</w:t>
      </w:r>
    </w:p>
    <w:p w14:paraId="64B2B197">
      <w:pPr>
        <w:ind w:firstLine="640" w:firstLineChars="200"/>
        <w:rPr>
          <w:rFonts w:hint="eastAsia" w:ascii="仿宋" w:hAnsi="仿宋" w:eastAsia="仿宋" w:cs="仿宋"/>
          <w:sz w:val="32"/>
          <w:szCs w:val="32"/>
        </w:rPr>
      </w:pPr>
      <w:r>
        <w:rPr>
          <w:rFonts w:hint="eastAsia" w:ascii="仿宋" w:hAnsi="仿宋" w:eastAsia="仿宋" w:cs="仿宋"/>
          <w:sz w:val="32"/>
          <w:szCs w:val="32"/>
        </w:rPr>
        <w:t>出现但不限于下列情况之一的，其响应文件将被视为无效文件不予通过资格审查和符合性审查：</w:t>
      </w:r>
    </w:p>
    <w:p w14:paraId="2C283270">
      <w:pPr>
        <w:ind w:firstLine="640" w:firstLineChars="200"/>
        <w:rPr>
          <w:rFonts w:hint="eastAsia" w:ascii="仿宋" w:hAnsi="仿宋" w:eastAsia="仿宋" w:cs="仿宋"/>
          <w:sz w:val="32"/>
          <w:szCs w:val="32"/>
        </w:rPr>
      </w:pPr>
      <w:r>
        <w:rPr>
          <w:rFonts w:hint="eastAsia" w:ascii="仿宋" w:hAnsi="仿宋" w:eastAsia="仿宋" w:cs="仿宋"/>
          <w:sz w:val="32"/>
          <w:szCs w:val="32"/>
        </w:rPr>
        <w:t>1.资格不符合要求的；</w:t>
      </w:r>
    </w:p>
    <w:p w14:paraId="6AD4B248">
      <w:pPr>
        <w:ind w:firstLine="640" w:firstLineChars="200"/>
        <w:rPr>
          <w:rFonts w:hint="eastAsia" w:ascii="仿宋" w:hAnsi="仿宋" w:eastAsia="仿宋" w:cs="仿宋"/>
          <w:sz w:val="32"/>
          <w:szCs w:val="32"/>
        </w:rPr>
      </w:pPr>
      <w:r>
        <w:rPr>
          <w:rFonts w:hint="eastAsia" w:ascii="仿宋" w:hAnsi="仿宋" w:eastAsia="仿宋" w:cs="仿宋"/>
          <w:sz w:val="32"/>
          <w:szCs w:val="32"/>
        </w:rPr>
        <w:t>2.响应文件未实质性响应采购文件要求的；</w:t>
      </w:r>
    </w:p>
    <w:p w14:paraId="28C88C2E">
      <w:pPr>
        <w:ind w:firstLine="640" w:firstLineChars="200"/>
        <w:rPr>
          <w:rFonts w:hint="eastAsia" w:ascii="仿宋" w:hAnsi="仿宋" w:eastAsia="仿宋" w:cs="仿宋"/>
          <w:sz w:val="32"/>
          <w:szCs w:val="32"/>
        </w:rPr>
      </w:pPr>
      <w:r>
        <w:rPr>
          <w:rFonts w:hint="eastAsia" w:ascii="仿宋" w:hAnsi="仿宋" w:eastAsia="仿宋" w:cs="仿宋"/>
          <w:sz w:val="32"/>
          <w:szCs w:val="32"/>
        </w:rPr>
        <w:t>3.响应文件无法定代表人签字，或签字人未被法定代表人授权的；</w:t>
      </w:r>
    </w:p>
    <w:p w14:paraId="524397EC">
      <w:pPr>
        <w:ind w:firstLine="640" w:firstLineChars="200"/>
        <w:rPr>
          <w:rFonts w:hint="eastAsia" w:ascii="仿宋" w:hAnsi="仿宋" w:eastAsia="仿宋" w:cs="仿宋"/>
          <w:sz w:val="32"/>
          <w:szCs w:val="32"/>
        </w:rPr>
      </w:pPr>
      <w:r>
        <w:rPr>
          <w:rFonts w:hint="eastAsia" w:ascii="仿宋" w:hAnsi="仿宋" w:eastAsia="仿宋" w:cs="仿宋"/>
          <w:sz w:val="32"/>
          <w:szCs w:val="32"/>
        </w:rPr>
        <w:t>4.所报总价超出项目预算且无法支付的；</w:t>
      </w:r>
    </w:p>
    <w:p w14:paraId="696C0D9A">
      <w:pPr>
        <w:ind w:firstLine="640" w:firstLineChars="200"/>
        <w:rPr>
          <w:rFonts w:hint="eastAsia" w:ascii="仿宋" w:hAnsi="仿宋" w:eastAsia="仿宋" w:cs="仿宋"/>
          <w:kern w:val="0"/>
          <w:sz w:val="32"/>
          <w:szCs w:val="32"/>
        </w:rPr>
      </w:pPr>
      <w:r>
        <w:rPr>
          <w:rFonts w:hint="eastAsia" w:ascii="仿宋" w:hAnsi="仿宋" w:eastAsia="仿宋" w:cs="仿宋"/>
          <w:sz w:val="32"/>
          <w:szCs w:val="32"/>
        </w:rPr>
        <w:t>5.不同</w:t>
      </w:r>
      <w:r>
        <w:rPr>
          <w:rFonts w:hint="eastAsia" w:ascii="仿宋" w:hAnsi="仿宋" w:eastAsia="仿宋" w:cs="仿宋"/>
          <w:kern w:val="0"/>
          <w:sz w:val="32"/>
          <w:szCs w:val="32"/>
        </w:rPr>
        <w:t>供应商负责人为同一人或者存在直接控股、管理关系的；</w:t>
      </w:r>
    </w:p>
    <w:p w14:paraId="508EBFCD">
      <w:pPr>
        <w:ind w:firstLine="640" w:firstLineChars="200"/>
        <w:rPr>
          <w:rFonts w:hint="eastAsia" w:ascii="仿宋" w:hAnsi="仿宋" w:eastAsia="仿宋" w:cs="仿宋"/>
          <w:sz w:val="32"/>
          <w:szCs w:val="32"/>
        </w:rPr>
      </w:pPr>
      <w:r>
        <w:rPr>
          <w:rFonts w:hint="eastAsia" w:ascii="仿宋" w:hAnsi="仿宋" w:eastAsia="仿宋" w:cs="仿宋"/>
          <w:sz w:val="32"/>
          <w:szCs w:val="32"/>
        </w:rPr>
        <w:t>6.负偏离。</w:t>
      </w:r>
    </w:p>
    <w:p w14:paraId="36D51104">
      <w:pPr>
        <w:ind w:firstLine="640" w:firstLineChars="200"/>
        <w:rPr>
          <w:rFonts w:hint="eastAsia" w:ascii="仿宋" w:hAnsi="仿宋" w:eastAsia="仿宋" w:cs="仿宋"/>
          <w:sz w:val="32"/>
          <w:szCs w:val="32"/>
        </w:rPr>
      </w:pPr>
      <w:r>
        <w:rPr>
          <w:rFonts w:hint="eastAsia" w:ascii="仿宋" w:hAnsi="仿宋" w:eastAsia="仿宋" w:cs="仿宋"/>
          <w:sz w:val="32"/>
          <w:szCs w:val="32"/>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评审小组根据符合采购需求、质量和服务相等且评分最高的原则推荐成交候选供应商，由采购人授权评审小组确认成交供应商，采购办于2个工作日内在乐山市五通桥区人民医院网上公告成交结果。</w:t>
      </w:r>
    </w:p>
    <w:p w14:paraId="329D892A">
      <w:pPr>
        <w:ind w:firstLine="640" w:firstLineChars="200"/>
        <w:rPr>
          <w:rFonts w:hint="eastAsia" w:ascii="仿宋" w:hAnsi="仿宋" w:eastAsia="仿宋" w:cs="仿宋"/>
          <w:sz w:val="32"/>
          <w:szCs w:val="32"/>
        </w:rPr>
      </w:pPr>
      <w:r>
        <w:rPr>
          <w:rFonts w:hint="eastAsia" w:ascii="仿宋" w:hAnsi="仿宋" w:eastAsia="仿宋" w:cs="仿宋"/>
          <w:sz w:val="32"/>
          <w:szCs w:val="32"/>
        </w:rPr>
        <w:t>四、成交标准：按采购最终报价为依据（未组织二次报价的，以报价响应文件中的报价为依据），体现满足采购项目要求,且综合评分最高原则确定成交供应商。</w:t>
      </w:r>
    </w:p>
    <w:p w14:paraId="59313FF1">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用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14:paraId="49071573">
      <w:pPr>
        <w:ind w:firstLine="640" w:firstLineChars="200"/>
        <w:jc w:val="left"/>
        <w:rPr>
          <w:rFonts w:eastAsia="仿宋"/>
        </w:rPr>
      </w:pPr>
      <w:r>
        <w:rPr>
          <w:rFonts w:hint="eastAsia" w:ascii="仿宋" w:hAnsi="仿宋" w:eastAsia="仿宋" w:cs="仿宋"/>
          <w:sz w:val="32"/>
          <w:szCs w:val="32"/>
        </w:rPr>
        <w:t>采用综合评分法的采购项目，提供相同品牌产品且通过资格审查、符合性审查的不同投标人参加同一合同项下投标的，按一家投标人计算，评审后得分最高的同品牌投标人获得中标人推荐资格；评审得分相同的，则价格最低的供应商确定第一候选人。价格也相同时，由采购人组织评标小组按照采取随机抽取方式确定第一候选人，其他投标无效。</w:t>
      </w:r>
    </w:p>
    <w:p w14:paraId="77774429">
      <w:pPr>
        <w:ind w:firstLine="640" w:firstLineChars="200"/>
        <w:rPr>
          <w:rFonts w:hint="eastAsia" w:ascii="仿宋" w:hAnsi="仿宋" w:eastAsia="仿宋" w:cs="仿宋"/>
          <w:sz w:val="32"/>
          <w:szCs w:val="32"/>
        </w:rPr>
      </w:pPr>
      <w:r>
        <w:rPr>
          <w:rFonts w:hint="eastAsia" w:ascii="仿宋" w:hAnsi="仿宋" w:eastAsia="仿宋" w:cs="仿宋"/>
          <w:sz w:val="32"/>
          <w:szCs w:val="32"/>
        </w:rPr>
        <w:t>五、院内采购评审小组的组建。评审小组依法由三人及以上单数组成。</w:t>
      </w:r>
    </w:p>
    <w:p w14:paraId="714DEE18">
      <w:pPr>
        <w:ind w:firstLine="640" w:firstLineChars="200"/>
        <w:rPr>
          <w:rFonts w:hint="eastAsia" w:ascii="仿宋" w:hAnsi="仿宋" w:eastAsia="仿宋" w:cs="仿宋"/>
          <w:sz w:val="32"/>
          <w:szCs w:val="32"/>
        </w:rPr>
      </w:pPr>
      <w:r>
        <w:rPr>
          <w:rFonts w:hint="eastAsia" w:ascii="仿宋" w:hAnsi="仿宋" w:eastAsia="仿宋" w:cs="仿宋"/>
          <w:sz w:val="32"/>
          <w:szCs w:val="32"/>
        </w:rPr>
        <w:t>六、低于成本价不正当竞争预防措施</w:t>
      </w:r>
    </w:p>
    <w:p w14:paraId="0BF9C2BD">
      <w:pPr>
        <w:ind w:firstLine="640" w:firstLineChars="200"/>
        <w:rPr>
          <w:rFonts w:hint="eastAsia" w:ascii="仿宋" w:hAnsi="仿宋" w:eastAsia="仿宋" w:cs="仿宋"/>
          <w:sz w:val="32"/>
          <w:szCs w:val="32"/>
        </w:rPr>
      </w:pPr>
      <w:r>
        <w:rPr>
          <w:rFonts w:hint="eastAsia" w:ascii="仿宋" w:hAnsi="仿宋" w:eastAsia="仿宋" w:cs="仿宋"/>
          <w:sz w:val="32"/>
          <w:szCs w:val="32"/>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14:paraId="03860067">
      <w:pPr>
        <w:ind w:firstLine="640" w:firstLineChars="200"/>
        <w:rPr>
          <w:rFonts w:hint="eastAsia" w:ascii="仿宋" w:hAnsi="仿宋" w:eastAsia="仿宋" w:cs="仿宋"/>
          <w:sz w:val="32"/>
          <w:szCs w:val="32"/>
        </w:rPr>
      </w:pPr>
      <w:r>
        <w:rPr>
          <w:rFonts w:hint="eastAsia" w:ascii="仿宋" w:hAnsi="仿宋" w:eastAsia="仿宋" w:cs="仿宋"/>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EBCBE93">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2.供应商书面说明应当签字确认或者加盖公章，否则无效。书面说明的签字确认，由其法定代表人/主要负责人/本人或者其授权代表签字确认。</w:t>
      </w:r>
    </w:p>
    <w:p w14:paraId="7F86E736">
      <w:pPr>
        <w:ind w:firstLine="640" w:firstLineChars="200"/>
        <w:rPr>
          <w:rFonts w:hint="eastAsia" w:ascii="仿宋" w:hAnsi="仿宋" w:eastAsia="仿宋" w:cs="仿宋"/>
          <w:sz w:val="32"/>
          <w:szCs w:val="32"/>
        </w:rPr>
      </w:pPr>
      <w:r>
        <w:rPr>
          <w:rFonts w:hint="eastAsia" w:ascii="仿宋" w:hAnsi="仿宋" w:eastAsia="仿宋" w:cs="仿宋"/>
          <w:sz w:val="32"/>
          <w:szCs w:val="32"/>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14:paraId="07807948">
      <w:pPr>
        <w:ind w:firstLine="640" w:firstLineChars="200"/>
        <w:rPr>
          <w:rFonts w:hint="eastAsia" w:ascii="仿宋" w:hAnsi="仿宋" w:eastAsia="仿宋" w:cs="仿宋"/>
          <w:sz w:val="32"/>
          <w:szCs w:val="32"/>
        </w:rPr>
      </w:pPr>
      <w:r>
        <w:rPr>
          <w:rFonts w:hint="eastAsia" w:ascii="仿宋" w:hAnsi="仿宋" w:eastAsia="仿宋" w:cs="仿宋"/>
          <w:sz w:val="32"/>
          <w:szCs w:val="32"/>
        </w:rPr>
        <w:t>七、采购工作纪律和注意事项。在采购活动中，供应商、评审成员、组织采购工作的有关工作人员应严格遵守相关纪律规定，注意以下事项：</w:t>
      </w:r>
    </w:p>
    <w:p w14:paraId="221ADBC3">
      <w:pPr>
        <w:ind w:firstLine="640" w:firstLineChars="200"/>
        <w:rPr>
          <w:rFonts w:hint="eastAsia" w:ascii="仿宋" w:hAnsi="仿宋" w:eastAsia="仿宋" w:cs="仿宋"/>
          <w:sz w:val="32"/>
          <w:szCs w:val="32"/>
        </w:rPr>
      </w:pPr>
      <w:r>
        <w:rPr>
          <w:rFonts w:hint="eastAsia" w:ascii="仿宋" w:hAnsi="仿宋" w:eastAsia="仿宋" w:cs="仿宋"/>
          <w:sz w:val="32"/>
          <w:szCs w:val="32"/>
        </w:rPr>
        <w:t>1.不得泄露采购活动在应当保密的情况和资料，不得与供应商串通损害国家利益、社会公共利益或者他人合法权益。</w:t>
      </w:r>
    </w:p>
    <w:p w14:paraId="0F832B3F">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2.供应商不得相互串通报价；不得向评审成员行贿谋取成交；不得以他人名义或者其他方式弄虚作假骗取成交；不得以任何方式干扰、影响采购活动。</w:t>
      </w:r>
    </w:p>
    <w:p w14:paraId="785E7899">
      <w:pPr>
        <w:ind w:firstLine="640" w:firstLineChars="200"/>
        <w:rPr>
          <w:rFonts w:hint="eastAsia" w:ascii="仿宋" w:hAnsi="仿宋" w:eastAsia="仿宋" w:cs="仿宋"/>
          <w:sz w:val="32"/>
          <w:szCs w:val="32"/>
        </w:rPr>
      </w:pPr>
      <w:r>
        <w:rPr>
          <w:rFonts w:hint="eastAsia" w:ascii="仿宋" w:hAnsi="仿宋" w:eastAsia="仿宋" w:cs="仿宋"/>
          <w:sz w:val="32"/>
          <w:szCs w:val="32"/>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14:paraId="6A5FD005">
      <w:pPr>
        <w:ind w:firstLine="640" w:firstLineChars="200"/>
        <w:rPr>
          <w:rFonts w:hint="eastAsia" w:ascii="宋体" w:hAnsi="宋体"/>
          <w:sz w:val="24"/>
        </w:rPr>
      </w:pPr>
      <w:r>
        <w:rPr>
          <w:rFonts w:hint="eastAsia" w:ascii="仿宋" w:hAnsi="仿宋" w:eastAsia="仿宋" w:cs="仿宋"/>
          <w:sz w:val="32"/>
          <w:szCs w:val="32"/>
        </w:rPr>
        <w:t>4.组织采购的工作人员不得收受他人的财物或者其他好处，不得向他人透露采购活动中各有关细节及推荐评审情况。在采购活动中不得擅离职守，影响采购活动的正常进行。</w:t>
      </w:r>
    </w:p>
    <w:p w14:paraId="4D3B07FE">
      <w:pPr>
        <w:pStyle w:val="8"/>
        <w:ind w:left="0" w:leftChars="0"/>
        <w:rPr>
          <w:rFonts w:hint="eastAsia" w:ascii="黑体" w:hAnsi="黑体" w:eastAsia="黑体" w:cs="黑体"/>
        </w:rPr>
      </w:pPr>
    </w:p>
    <w:p w14:paraId="248D9648">
      <w:pPr>
        <w:rPr>
          <w:rFonts w:hint="eastAsia" w:ascii="黑体" w:hAnsi="黑体" w:eastAsia="黑体" w:cs="黑体"/>
        </w:rPr>
      </w:pPr>
    </w:p>
    <w:p w14:paraId="689FCB24">
      <w:pPr>
        <w:widowControl/>
        <w:jc w:val="left"/>
        <w:rPr>
          <w:rFonts w:hint="eastAsia" w:ascii="黑体" w:hAnsi="黑体" w:eastAsia="黑体" w:cs="黑体"/>
          <w:b/>
          <w:sz w:val="48"/>
          <w:szCs w:val="48"/>
        </w:rPr>
      </w:pPr>
      <w:r>
        <w:rPr>
          <w:rFonts w:hint="eastAsia" w:ascii="黑体" w:hAnsi="黑体" w:eastAsia="黑体" w:cs="黑体"/>
          <w:b/>
          <w:sz w:val="48"/>
          <w:szCs w:val="48"/>
        </w:rPr>
        <w:br w:type="page"/>
      </w:r>
    </w:p>
    <w:p w14:paraId="7D82A80D">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（采购封面）</w:t>
      </w:r>
    </w:p>
    <w:p w14:paraId="7FE8F6BC">
      <w:pPr>
        <w:jc w:val="center"/>
        <w:rPr>
          <w:rFonts w:hint="eastAsia" w:ascii="黑体" w:hAnsi="黑体" w:eastAsia="黑体" w:cs="黑体"/>
          <w:b/>
          <w:sz w:val="48"/>
          <w:szCs w:val="48"/>
        </w:rPr>
      </w:pPr>
      <w:r>
        <w:rPr>
          <w:rFonts w:hint="eastAsia" w:ascii="黑体" w:hAnsi="黑体" w:eastAsia="黑体" w:cs="黑体"/>
          <w:b/>
          <w:sz w:val="48"/>
          <w:szCs w:val="48"/>
        </w:rPr>
        <w:t>乐山市五通桥区</w:t>
      </w:r>
      <w:r>
        <w:rPr>
          <w:rFonts w:hint="eastAsia" w:ascii="黑体" w:hAnsi="黑体" w:eastAsia="黑体" w:cs="黑体"/>
          <w:b/>
          <w:sz w:val="48"/>
          <w:szCs w:val="48"/>
          <w:lang w:eastAsia="zh-CN"/>
        </w:rPr>
        <w:t>紧密型</w:t>
      </w:r>
      <w:r>
        <w:rPr>
          <w:rFonts w:hint="eastAsia" w:ascii="黑体" w:hAnsi="黑体" w:eastAsia="黑体" w:cs="黑体"/>
          <w:b/>
          <w:sz w:val="48"/>
          <w:szCs w:val="48"/>
        </w:rPr>
        <w:t>城市医疗集团</w:t>
      </w:r>
    </w:p>
    <w:p w14:paraId="77B9D45F">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冠英镇卫生院采购项目</w:t>
      </w:r>
    </w:p>
    <w:p w14:paraId="0D7E5478">
      <w:pPr>
        <w:spacing w:line="400" w:lineRule="exact"/>
        <w:ind w:firstLine="4897" w:firstLineChars="583"/>
        <w:rPr>
          <w:rFonts w:hint="eastAsia" w:ascii="黑体" w:hAnsi="黑体" w:eastAsia="黑体" w:cs="黑体"/>
          <w:sz w:val="84"/>
          <w:szCs w:val="84"/>
        </w:rPr>
      </w:pPr>
    </w:p>
    <w:p w14:paraId="2D83838A">
      <w:pPr>
        <w:pStyle w:val="6"/>
        <w:jc w:val="center"/>
        <w:rPr>
          <w:rFonts w:hint="eastAsia" w:ascii="黑体" w:hAnsi="黑体" w:eastAsia="黑体" w:cs="黑体"/>
          <w:sz w:val="44"/>
          <w:szCs w:val="44"/>
        </w:rPr>
      </w:pPr>
      <w:r>
        <w:rPr>
          <w:rFonts w:hint="eastAsia" w:ascii="黑体" w:hAnsi="黑体" w:eastAsia="黑体" w:cs="黑体"/>
          <w:sz w:val="44"/>
          <w:szCs w:val="44"/>
        </w:rPr>
        <w:t>院内采购文件</w:t>
      </w:r>
    </w:p>
    <w:p w14:paraId="64B987D6">
      <w:pPr>
        <w:rPr>
          <w:rFonts w:hint="eastAsia" w:ascii="黑体" w:hAnsi="黑体" w:eastAsia="黑体" w:cs="黑体"/>
          <w:sz w:val="84"/>
          <w:szCs w:val="84"/>
        </w:rPr>
      </w:pPr>
    </w:p>
    <w:p w14:paraId="7C004C00">
      <w:pPr>
        <w:pStyle w:val="6"/>
        <w:rPr>
          <w:rFonts w:hint="eastAsia" w:ascii="黑体" w:hAnsi="黑体" w:eastAsia="黑体" w:cs="黑体"/>
        </w:rPr>
      </w:pPr>
    </w:p>
    <w:p w14:paraId="19B085F6">
      <w:pPr>
        <w:spacing w:line="400" w:lineRule="exact"/>
        <w:ind w:firstLine="4897" w:firstLineChars="583"/>
        <w:rPr>
          <w:rFonts w:hint="eastAsia" w:ascii="黑体" w:hAnsi="黑体" w:eastAsia="黑体" w:cs="黑体"/>
          <w:sz w:val="84"/>
          <w:szCs w:val="84"/>
        </w:rPr>
      </w:pPr>
    </w:p>
    <w:p w14:paraId="73760B24">
      <w:pPr>
        <w:spacing w:line="400" w:lineRule="exact"/>
        <w:ind w:firstLine="4897" w:firstLineChars="583"/>
        <w:rPr>
          <w:rFonts w:hint="eastAsia" w:ascii="黑体" w:hAnsi="黑体" w:eastAsia="黑体" w:cs="黑体"/>
          <w:sz w:val="84"/>
          <w:szCs w:val="84"/>
        </w:rPr>
      </w:pPr>
    </w:p>
    <w:p w14:paraId="323AC194">
      <w:pPr>
        <w:spacing w:line="400" w:lineRule="exact"/>
        <w:rPr>
          <w:rFonts w:hint="eastAsia" w:ascii="黑体" w:hAnsi="黑体" w:eastAsia="黑体" w:cs="黑体"/>
          <w:b/>
          <w:bCs/>
          <w:sz w:val="30"/>
          <w:szCs w:val="30"/>
        </w:rPr>
      </w:pPr>
    </w:p>
    <w:p w14:paraId="514800AA">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568DFAE9">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项目编号：</w:t>
      </w:r>
      <w:r>
        <w:rPr>
          <w:rFonts w:hint="eastAsia" w:ascii="黑体" w:hAnsi="黑体" w:eastAsia="黑体" w:cs="黑体"/>
          <w:b/>
          <w:sz w:val="32"/>
          <w:szCs w:val="32"/>
          <w:u w:val="single"/>
        </w:rPr>
        <w:t xml:space="preserve">                            </w:t>
      </w:r>
    </w:p>
    <w:p w14:paraId="72E9C2B1">
      <w:pPr>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rPr>
        <w:t>供应商名称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3A34AD0E">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联系人及电话：________________________</w:t>
      </w:r>
    </w:p>
    <w:p w14:paraId="35FF38B3">
      <w:pPr>
        <w:spacing w:line="360" w:lineRule="auto"/>
        <w:ind w:firstLine="315" w:firstLineChars="98"/>
        <w:rPr>
          <w:rFonts w:hint="eastAsia" w:ascii="黑体" w:hAnsi="黑体" w:eastAsia="黑体" w:cs="黑体"/>
          <w:b/>
          <w:bCs/>
          <w:sz w:val="32"/>
          <w:szCs w:val="32"/>
        </w:rPr>
      </w:pPr>
    </w:p>
    <w:p w14:paraId="3F3F1202">
      <w:pPr>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4EDD513E">
      <w:pPr>
        <w:rPr>
          <w:rFonts w:hint="eastAsia" w:ascii="黑体" w:hAnsi="黑体" w:eastAsia="黑体" w:cs="黑体"/>
          <w:b/>
          <w:bCs/>
          <w:sz w:val="32"/>
          <w:szCs w:val="32"/>
        </w:rPr>
      </w:pPr>
      <w:bookmarkStart w:id="1" w:name="_Toc18458"/>
      <w:bookmarkStart w:id="2" w:name="_Toc9490"/>
      <w:bookmarkStart w:id="3" w:name="_Toc5773"/>
      <w:bookmarkStart w:id="4" w:name="_Toc25737"/>
      <w:r>
        <w:rPr>
          <w:rFonts w:hint="eastAsia" w:ascii="黑体" w:hAnsi="黑体" w:eastAsia="黑体" w:cs="黑体"/>
          <w:b/>
          <w:bCs/>
          <w:sz w:val="32"/>
          <w:szCs w:val="32"/>
        </w:rPr>
        <w:br w:type="page"/>
      </w:r>
    </w:p>
    <w:bookmarkEnd w:id="1"/>
    <w:bookmarkEnd w:id="2"/>
    <w:bookmarkEnd w:id="3"/>
    <w:bookmarkEnd w:id="4"/>
    <w:p w14:paraId="1171FA8E">
      <w:pPr>
        <w:jc w:val="center"/>
        <w:rPr>
          <w:rFonts w:hint="eastAsia" w:ascii="黑体" w:hAnsi="黑体" w:eastAsia="黑体" w:cs="黑体"/>
          <w:spacing w:val="2"/>
          <w:sz w:val="40"/>
          <w:szCs w:val="40"/>
        </w:rPr>
      </w:pPr>
      <w:bookmarkStart w:id="5" w:name="_Toc439699516"/>
      <w:bookmarkStart w:id="6" w:name="_Toc12449"/>
      <w:bookmarkStart w:id="7" w:name="_Toc4003"/>
      <w:bookmarkStart w:id="8" w:name="_Toc17549"/>
      <w:r>
        <w:rPr>
          <w:rFonts w:hint="eastAsia" w:ascii="黑体" w:hAnsi="黑体" w:eastAsia="黑体" w:cs="黑体"/>
          <w:spacing w:val="2"/>
          <w:sz w:val="40"/>
          <w:szCs w:val="40"/>
        </w:rPr>
        <w:t>承诺函</w:t>
      </w:r>
    </w:p>
    <w:p w14:paraId="3DE5C38A">
      <w:pPr>
        <w:pStyle w:val="6"/>
        <w:rPr>
          <w:rFonts w:hint="eastAsia" w:ascii="黑体" w:hAnsi="黑体" w:eastAsia="黑体" w:cs="黑体"/>
          <w:sz w:val="28"/>
          <w:szCs w:val="28"/>
        </w:rPr>
      </w:pPr>
    </w:p>
    <w:p w14:paraId="34FB40C7">
      <w:pPr>
        <w:rPr>
          <w:rFonts w:hint="eastAsia" w:ascii="仿宋" w:hAnsi="仿宋" w:eastAsia="仿宋" w:cs="仿宋"/>
          <w:spacing w:val="2"/>
          <w:sz w:val="32"/>
          <w:szCs w:val="32"/>
        </w:rPr>
      </w:pPr>
      <w:r>
        <w:rPr>
          <w:rFonts w:hint="eastAsia" w:ascii="仿宋" w:hAnsi="仿宋" w:eastAsia="仿宋" w:cs="仿宋"/>
          <w:spacing w:val="2"/>
          <w:sz w:val="32"/>
          <w:szCs w:val="32"/>
        </w:rPr>
        <w:t>乐山市五通桥区</w:t>
      </w:r>
      <w:r>
        <w:rPr>
          <w:rFonts w:hint="eastAsia" w:ascii="仿宋" w:hAnsi="仿宋" w:eastAsia="仿宋" w:cs="仿宋"/>
          <w:spacing w:val="2"/>
          <w:sz w:val="32"/>
          <w:szCs w:val="32"/>
          <w:lang w:eastAsia="zh-CN"/>
        </w:rPr>
        <w:t>紧密型</w:t>
      </w:r>
      <w:r>
        <w:rPr>
          <w:rFonts w:hint="eastAsia" w:ascii="仿宋" w:hAnsi="仿宋" w:eastAsia="仿宋" w:cs="仿宋"/>
          <w:spacing w:val="2"/>
          <w:sz w:val="32"/>
          <w:szCs w:val="32"/>
        </w:rPr>
        <w:t>城市医疗集团冠英镇卫生院：</w:t>
      </w:r>
    </w:p>
    <w:p w14:paraId="3B25F086">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我方作为本次采购项目的供应商，根据供应商采购文件要求，现郑重承诺如下：</w:t>
      </w:r>
    </w:p>
    <w:p w14:paraId="40E72DB7">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一、具备本项目规定的条件</w:t>
      </w:r>
    </w:p>
    <w:p w14:paraId="7F2EBFBD">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1.具有独立承担民事责任的能力；</w:t>
      </w:r>
    </w:p>
    <w:p w14:paraId="137ADD49">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2.具有良好的商业信誉和健全的财务会计制度；</w:t>
      </w:r>
    </w:p>
    <w:p w14:paraId="447E711E">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3.具有履行合同所必须的设备和专业技术能力；</w:t>
      </w:r>
    </w:p>
    <w:p w14:paraId="7AF1E80D">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4.具有依法缴纳税收和社会保障资金的良好记录；</w:t>
      </w:r>
    </w:p>
    <w:p w14:paraId="4DCDED69">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5.参加本次供应商采购活动前三年内，在经营活动中没有重大违法记录；</w:t>
      </w:r>
    </w:p>
    <w:p w14:paraId="39C0CF1D">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6.法律、行政法规规定的其他条件；</w:t>
      </w:r>
    </w:p>
    <w:p w14:paraId="13BBAF2E">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14:paraId="31F49E07">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14:paraId="6936EC27">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四、我方完全尊重并认可本项目供应商采购文件中规定并赋予本项目采购人“自主采取公平、择优的方式选择”的权利，对本项目采购人选择的结果完全认同并无异议。</w:t>
      </w:r>
    </w:p>
    <w:p w14:paraId="392E1744">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五、参加本次供应商采购活动，不存在与单位负责人为同一人或者存在直接控股、管理关系的其他供应商参与同一合同项下的供应商采购活动的行为。</w:t>
      </w:r>
    </w:p>
    <w:p w14:paraId="10932877">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六、参加本次供应商采购活动，不存在和其他供应商在同一合同项下的供应商采购项目中，同时委托同一个自然人、同一家庭的人员、同一单位的人员作为代理人的行为。</w:t>
      </w:r>
    </w:p>
    <w:p w14:paraId="59C6217F">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七、供应商响应文件中提供的技术、服务、商务等响应承诺情况都是真实的、有效的、合法的。</w:t>
      </w:r>
    </w:p>
    <w:p w14:paraId="042C2B4D">
      <w:pPr>
        <w:pStyle w:val="6"/>
        <w:rPr>
          <w:rFonts w:hint="eastAsia" w:ascii="仿宋" w:hAnsi="仿宋" w:eastAsia="仿宋" w:cs="仿宋"/>
          <w:sz w:val="32"/>
          <w:szCs w:val="32"/>
        </w:rPr>
      </w:pPr>
      <w:r>
        <w:rPr>
          <w:rFonts w:hint="eastAsia" w:ascii="仿宋" w:hAnsi="仿宋" w:eastAsia="仿宋" w:cs="仿宋"/>
          <w:spacing w:val="2"/>
          <w:sz w:val="32"/>
          <w:szCs w:val="32"/>
        </w:rPr>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54776E59">
      <w:pPr>
        <w:snapToGrid w:val="0"/>
        <w:ind w:firstLine="648" w:firstLineChars="200"/>
        <w:contextualSpacing/>
        <w:rPr>
          <w:rFonts w:hint="eastAsia" w:ascii="仿宋" w:hAnsi="仿宋" w:eastAsia="仿宋" w:cs="仿宋"/>
          <w:spacing w:val="2"/>
          <w:sz w:val="32"/>
          <w:szCs w:val="32"/>
        </w:rPr>
      </w:pPr>
      <w:r>
        <w:rPr>
          <w:rFonts w:hint="eastAsia" w:ascii="仿宋" w:hAnsi="仿宋" w:eastAsia="仿宋" w:cs="仿宋"/>
          <w:spacing w:val="2"/>
          <w:sz w:val="32"/>
          <w:szCs w:val="32"/>
        </w:rPr>
        <w:t>本公司对上述承诺的内容事项真实性负责。如经查实上述承诺的内容事项存在虚假，我公司愿意接受以提供虚假材料谋取成交追究法律责任。</w:t>
      </w:r>
    </w:p>
    <w:p w14:paraId="07DBAA5A">
      <w:pPr>
        <w:pStyle w:val="29"/>
        <w:rPr>
          <w:rFonts w:hint="eastAsia" w:ascii="仿宋" w:hAnsi="仿宋" w:eastAsia="仿宋" w:cs="仿宋"/>
          <w:sz w:val="32"/>
          <w:szCs w:val="32"/>
        </w:rPr>
      </w:pPr>
    </w:p>
    <w:p w14:paraId="2A963FFF"/>
    <w:p w14:paraId="12C52C31">
      <w:pPr>
        <w:snapToGrid w:val="0"/>
        <w:spacing w:line="360" w:lineRule="auto"/>
        <w:ind w:firstLine="2916" w:firstLineChars="900"/>
        <w:contextualSpacing/>
        <w:jc w:val="right"/>
        <w:rPr>
          <w:rFonts w:hint="eastAsia" w:ascii="仿宋" w:hAnsi="仿宋" w:eastAsia="仿宋" w:cs="仿宋"/>
          <w:spacing w:val="2"/>
          <w:sz w:val="32"/>
          <w:szCs w:val="32"/>
        </w:rPr>
      </w:pPr>
      <w:r>
        <w:rPr>
          <w:rFonts w:hint="eastAsia" w:ascii="仿宋" w:hAnsi="仿宋" w:eastAsia="仿宋" w:cs="仿宋"/>
          <w:spacing w:val="2"/>
          <w:sz w:val="32"/>
          <w:szCs w:val="32"/>
        </w:rPr>
        <w:t>供应商名称（单位公章）：XXXX</w:t>
      </w:r>
    </w:p>
    <w:p w14:paraId="41CA5442">
      <w:pPr>
        <w:snapToGrid w:val="0"/>
        <w:spacing w:line="360" w:lineRule="auto"/>
        <w:contextualSpacing/>
        <w:jc w:val="right"/>
        <w:rPr>
          <w:rFonts w:hint="eastAsia" w:ascii="仿宋" w:hAnsi="仿宋" w:eastAsia="仿宋" w:cs="仿宋"/>
          <w:spacing w:val="2"/>
          <w:sz w:val="32"/>
          <w:szCs w:val="32"/>
        </w:rPr>
      </w:pPr>
      <w:r>
        <w:rPr>
          <w:rFonts w:hint="eastAsia" w:ascii="仿宋" w:hAnsi="仿宋" w:eastAsia="仿宋" w:cs="仿宋"/>
          <w:spacing w:val="2"/>
          <w:sz w:val="32"/>
          <w:szCs w:val="32"/>
        </w:rPr>
        <w:t>法定代表人或授权代表（签字或加盖个人名章）：XXXX</w:t>
      </w:r>
    </w:p>
    <w:p w14:paraId="1791E9D7">
      <w:pPr>
        <w:snapToGrid w:val="0"/>
        <w:spacing w:line="360" w:lineRule="auto"/>
        <w:ind w:firstLine="2916" w:firstLineChars="900"/>
        <w:contextualSpacing/>
        <w:jc w:val="right"/>
        <w:rPr>
          <w:rFonts w:hint="eastAsia" w:ascii="黑体" w:hAnsi="黑体" w:eastAsia="黑体" w:cs="黑体"/>
          <w:spacing w:val="2"/>
          <w:sz w:val="28"/>
          <w:szCs w:val="28"/>
        </w:rPr>
      </w:pPr>
      <w:r>
        <w:rPr>
          <w:rFonts w:hint="eastAsia" w:ascii="仿宋" w:hAnsi="仿宋" w:eastAsia="仿宋" w:cs="仿宋"/>
          <w:spacing w:val="2"/>
          <w:sz w:val="32"/>
          <w:szCs w:val="32"/>
        </w:rPr>
        <w:t>日期：</w:t>
      </w:r>
      <w:r>
        <w:rPr>
          <w:rFonts w:hint="eastAsia" w:ascii="仿宋" w:hAnsi="仿宋" w:eastAsia="仿宋" w:cs="仿宋"/>
          <w:sz w:val="32"/>
          <w:szCs w:val="32"/>
        </w:rPr>
        <w:t>2025年  月  日</w:t>
      </w:r>
    </w:p>
    <w:p w14:paraId="27BC6814">
      <w:pPr>
        <w:pStyle w:val="6"/>
        <w:adjustRightInd w:val="0"/>
        <w:snapToGrid w:val="0"/>
        <w:spacing w:after="0" w:line="360" w:lineRule="auto"/>
        <w:ind w:firstLine="560" w:firstLineChars="200"/>
        <w:rPr>
          <w:rFonts w:hint="eastAsia" w:ascii="黑体" w:hAnsi="黑体" w:eastAsia="黑体" w:cs="黑体"/>
          <w:sz w:val="28"/>
          <w:szCs w:val="28"/>
        </w:rPr>
      </w:pPr>
    </w:p>
    <w:p w14:paraId="1FBAA95E">
      <w:pPr>
        <w:pStyle w:val="6"/>
        <w:adjustRightInd w:val="0"/>
        <w:snapToGrid w:val="0"/>
        <w:spacing w:after="0" w:line="360" w:lineRule="auto"/>
        <w:ind w:firstLine="560" w:firstLineChars="200"/>
        <w:rPr>
          <w:rFonts w:hint="eastAsia" w:ascii="黑体" w:hAnsi="黑体" w:eastAsia="黑体" w:cs="黑体"/>
          <w:sz w:val="28"/>
          <w:szCs w:val="28"/>
        </w:rPr>
      </w:pPr>
    </w:p>
    <w:bookmarkEnd w:id="5"/>
    <w:bookmarkEnd w:id="6"/>
    <w:bookmarkEnd w:id="7"/>
    <w:bookmarkEnd w:id="8"/>
    <w:p w14:paraId="22E6B558">
      <w:pPr>
        <w:spacing w:before="240" w:beforeLines="100" w:after="480" w:afterLines="200" w:line="320" w:lineRule="exact"/>
        <w:jc w:val="center"/>
        <w:rPr>
          <w:rFonts w:hint="eastAsia" w:ascii="黑体" w:hAnsi="黑体" w:eastAsia="黑体" w:cs="黑体"/>
          <w:sz w:val="40"/>
          <w:szCs w:val="40"/>
        </w:rPr>
      </w:pPr>
      <w:bookmarkStart w:id="9" w:name="_Toc439699522"/>
      <w:bookmarkStart w:id="10" w:name="_Toc1800"/>
      <w:bookmarkStart w:id="11" w:name="_Toc12426"/>
      <w:bookmarkStart w:id="12" w:name="_Toc24199"/>
      <w:bookmarkStart w:id="13" w:name="_Toc199"/>
      <w:bookmarkStart w:id="14" w:name="_Toc1287"/>
      <w:bookmarkStart w:id="15" w:name="_Toc16184"/>
      <w:r>
        <w:rPr>
          <w:rFonts w:hint="eastAsia" w:ascii="黑体" w:hAnsi="黑体" w:eastAsia="黑体" w:cs="黑体"/>
        </w:rPr>
        <w:br w:type="page"/>
      </w:r>
      <w:bookmarkEnd w:id="9"/>
      <w:bookmarkEnd w:id="10"/>
      <w:bookmarkEnd w:id="11"/>
      <w:bookmarkEnd w:id="12"/>
      <w:bookmarkEnd w:id="13"/>
      <w:bookmarkEnd w:id="14"/>
      <w:bookmarkEnd w:id="15"/>
      <w:r>
        <w:rPr>
          <w:rFonts w:hint="eastAsia" w:ascii="黑体" w:hAnsi="黑体" w:eastAsia="黑体" w:cs="黑体"/>
          <w:sz w:val="40"/>
          <w:szCs w:val="40"/>
        </w:rPr>
        <w:t>购销廉洁、诚信承诺书</w:t>
      </w:r>
    </w:p>
    <w:p w14:paraId="6E013487">
      <w:pPr>
        <w:rPr>
          <w:rFonts w:hint="eastAsia" w:ascii="仿宋" w:hAnsi="仿宋" w:eastAsia="仿宋" w:cs="仿宋"/>
          <w:spacing w:val="2"/>
          <w:sz w:val="32"/>
          <w:szCs w:val="32"/>
        </w:rPr>
      </w:pPr>
      <w:bookmarkStart w:id="16" w:name="_Toc5468"/>
      <w:r>
        <w:rPr>
          <w:rFonts w:hint="eastAsia" w:ascii="仿宋" w:hAnsi="仿宋" w:eastAsia="仿宋" w:cs="仿宋"/>
          <w:spacing w:val="2"/>
          <w:sz w:val="32"/>
          <w:szCs w:val="32"/>
        </w:rPr>
        <w:t>乐山市五通桥区</w:t>
      </w:r>
      <w:r>
        <w:rPr>
          <w:rFonts w:hint="eastAsia" w:ascii="仿宋" w:hAnsi="仿宋" w:eastAsia="仿宋" w:cs="仿宋"/>
          <w:spacing w:val="2"/>
          <w:sz w:val="32"/>
          <w:szCs w:val="32"/>
          <w:lang w:eastAsia="zh-CN"/>
        </w:rPr>
        <w:t>紧密型</w:t>
      </w:r>
      <w:bookmarkStart w:id="18" w:name="_GoBack"/>
      <w:bookmarkEnd w:id="18"/>
      <w:r>
        <w:rPr>
          <w:rFonts w:hint="eastAsia" w:ascii="仿宋" w:hAnsi="仿宋" w:eastAsia="仿宋" w:cs="仿宋"/>
          <w:spacing w:val="2"/>
          <w:sz w:val="32"/>
          <w:szCs w:val="32"/>
        </w:rPr>
        <w:t>城市医疗集团冠英镇卫生院</w:t>
      </w:r>
      <w:r>
        <w:rPr>
          <w:rFonts w:hint="eastAsia" w:ascii="仿宋" w:hAnsi="仿宋" w:eastAsia="仿宋" w:cs="仿宋"/>
          <w:sz w:val="32"/>
          <w:szCs w:val="32"/>
        </w:rPr>
        <w:t>：</w:t>
      </w:r>
    </w:p>
    <w:p w14:paraId="701A0D4B">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为进一步加强医疗卫生行风建设，规范医疗卫生机构购销行为，有效防范商业贿赂行为，营造公平交易、诚实守信的购销环境，我公司特作出以下承诺，并严格遵守：</w:t>
      </w:r>
    </w:p>
    <w:p w14:paraId="6E4F68CF">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一、本公司严格按照《民法典》及购销合同约定购销相关产品。</w:t>
      </w:r>
    </w:p>
    <w:p w14:paraId="0B6B14FB">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66BC0484">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B0C6B5F">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4CF229BB">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五、本公司如违反本承诺，愿意接受医院相关处罚规定。</w:t>
      </w:r>
    </w:p>
    <w:p w14:paraId="464F6EA0">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供应商或厂家名称：        （盖章）</w:t>
      </w:r>
    </w:p>
    <w:p w14:paraId="1F9BCEEB">
      <w:pPr>
        <w:pStyle w:val="27"/>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法定代表人或授权代表（签字）：</w:t>
      </w:r>
    </w:p>
    <w:p w14:paraId="5A04EAE4">
      <w:pPr>
        <w:pStyle w:val="27"/>
        <w:spacing w:line="240" w:lineRule="auto"/>
        <w:ind w:firstLine="0"/>
        <w:rPr>
          <w:rFonts w:hint="eastAsia" w:ascii="仿宋" w:hAnsi="仿宋" w:eastAsia="仿宋" w:cs="仿宋"/>
          <w:sz w:val="32"/>
          <w:szCs w:val="32"/>
        </w:rPr>
      </w:pPr>
    </w:p>
    <w:p w14:paraId="75A5C211">
      <w:pPr>
        <w:pStyle w:val="27"/>
        <w:spacing w:line="240" w:lineRule="auto"/>
        <w:ind w:firstLine="0"/>
        <w:rPr>
          <w:rFonts w:hint="eastAsia" w:ascii="仿宋" w:hAnsi="仿宋" w:eastAsia="仿宋" w:cs="仿宋"/>
          <w:sz w:val="32"/>
          <w:szCs w:val="32"/>
        </w:rPr>
      </w:pPr>
    </w:p>
    <w:p w14:paraId="5148DC6F">
      <w:pPr>
        <w:autoSpaceDN w:val="0"/>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日期：2025年  月  日</w:t>
      </w:r>
      <w:bookmarkEnd w:id="16"/>
    </w:p>
    <w:p w14:paraId="0A5CD457">
      <w:pPr>
        <w:rPr>
          <w:rFonts w:hint="eastAsia" w:ascii="仿宋" w:hAnsi="仿宋" w:eastAsia="仿宋" w:cs="仿宋"/>
          <w:sz w:val="32"/>
          <w:szCs w:val="32"/>
        </w:rPr>
      </w:pPr>
      <w:r>
        <w:rPr>
          <w:rFonts w:hint="eastAsia" w:ascii="仿宋" w:hAnsi="仿宋" w:eastAsia="仿宋" w:cs="仿宋"/>
          <w:sz w:val="32"/>
          <w:szCs w:val="32"/>
        </w:rPr>
        <w:br w:type="page"/>
      </w:r>
    </w:p>
    <w:p w14:paraId="301F5C11">
      <w:pPr>
        <w:numPr>
          <w:ilvl w:val="0"/>
          <w:numId w:val="1"/>
        </w:numPr>
        <w:jc w:val="center"/>
        <w:rPr>
          <w:rFonts w:hint="eastAsia" w:ascii="黑体" w:hAnsi="黑体" w:eastAsia="黑体" w:cs="黑体"/>
          <w:b/>
          <w:sz w:val="36"/>
          <w:szCs w:val="36"/>
        </w:rPr>
      </w:pPr>
      <w:r>
        <w:rPr>
          <w:rFonts w:hint="eastAsia" w:ascii="黑体" w:hAnsi="黑体" w:eastAsia="黑体" w:cs="黑体"/>
          <w:b/>
          <w:sz w:val="36"/>
          <w:szCs w:val="36"/>
        </w:rPr>
        <w:t>采购资质要求</w:t>
      </w:r>
    </w:p>
    <w:p w14:paraId="5FF24012">
      <w:pPr>
        <w:pStyle w:val="6"/>
        <w:rPr>
          <w:rFonts w:hint="eastAsia" w:ascii="黑体" w:hAnsi="黑体" w:eastAsia="黑体" w:cs="黑体"/>
          <w:b/>
          <w:sz w:val="36"/>
          <w:szCs w:val="36"/>
        </w:rPr>
      </w:pPr>
    </w:p>
    <w:p w14:paraId="0C8C848B">
      <w:pPr>
        <w:ind w:firstLine="640" w:firstLineChars="200"/>
        <w:rPr>
          <w:rFonts w:hint="eastAsia" w:ascii="仿宋" w:hAnsi="仿宋" w:eastAsia="仿宋" w:cs="仿宋"/>
          <w:sz w:val="32"/>
          <w:szCs w:val="32"/>
        </w:rPr>
      </w:pPr>
      <w:r>
        <w:rPr>
          <w:rFonts w:hint="eastAsia" w:ascii="仿宋" w:hAnsi="仿宋" w:eastAsia="仿宋" w:cs="仿宋"/>
          <w:sz w:val="32"/>
          <w:szCs w:val="32"/>
        </w:rPr>
        <w:t>资格性文件：供应商应当提供的资格要求的相关证明材料（缺少一项投标无效处理）</w:t>
      </w:r>
    </w:p>
    <w:tbl>
      <w:tblPr>
        <w:tblStyle w:val="17"/>
        <w:tblpPr w:leftFromText="180" w:rightFromText="180" w:vertAnchor="text" w:horzAnchor="page" w:tblpXSpec="center"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5810"/>
        <w:gridCol w:w="911"/>
        <w:gridCol w:w="1493"/>
      </w:tblGrid>
      <w:tr w14:paraId="5294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4" w:type="pct"/>
            <w:vAlign w:val="center"/>
          </w:tcPr>
          <w:p w14:paraId="09474C70">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序号</w:t>
            </w:r>
          </w:p>
        </w:tc>
        <w:tc>
          <w:tcPr>
            <w:tcW w:w="3258" w:type="pct"/>
            <w:vAlign w:val="center"/>
          </w:tcPr>
          <w:p w14:paraId="7A327531">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审查项目</w:t>
            </w:r>
          </w:p>
        </w:tc>
        <w:tc>
          <w:tcPr>
            <w:tcW w:w="511" w:type="pct"/>
            <w:vAlign w:val="center"/>
          </w:tcPr>
          <w:p w14:paraId="22E10C7A">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合格条件</w:t>
            </w:r>
          </w:p>
        </w:tc>
        <w:tc>
          <w:tcPr>
            <w:tcW w:w="838" w:type="pct"/>
            <w:vAlign w:val="center"/>
          </w:tcPr>
          <w:p w14:paraId="7D5BA8AC">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备注</w:t>
            </w:r>
          </w:p>
        </w:tc>
      </w:tr>
      <w:tr w14:paraId="4C95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4" w:type="pct"/>
            <w:vAlign w:val="center"/>
          </w:tcPr>
          <w:p w14:paraId="2DCB0F27">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1</w:t>
            </w:r>
          </w:p>
        </w:tc>
        <w:tc>
          <w:tcPr>
            <w:tcW w:w="3258" w:type="pct"/>
            <w:vAlign w:val="center"/>
          </w:tcPr>
          <w:p w14:paraId="3DB037E7">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 xml:space="preserve">三证（营业执照、税务登记证、组织机构代码证）副本；三证合一的只须提供营业执照副本；事业单位、社会团体提供法人登记证书复印件 </w:t>
            </w:r>
          </w:p>
        </w:tc>
        <w:tc>
          <w:tcPr>
            <w:tcW w:w="511" w:type="pct"/>
            <w:vAlign w:val="center"/>
          </w:tcPr>
          <w:p w14:paraId="27C6CF43">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8" w:type="pct"/>
            <w:vAlign w:val="center"/>
          </w:tcPr>
          <w:p w14:paraId="4548AB2E">
            <w:pPr>
              <w:snapToGrid w:val="0"/>
              <w:contextualSpacing/>
              <w:jc w:val="center"/>
              <w:rPr>
                <w:rFonts w:hint="eastAsia" w:ascii="仿宋" w:hAnsi="仿宋" w:eastAsia="仿宋" w:cs="仿宋"/>
                <w:spacing w:val="2"/>
                <w:sz w:val="32"/>
                <w:szCs w:val="32"/>
              </w:rPr>
            </w:pPr>
            <w:bookmarkStart w:id="17" w:name="OLE_LINK2"/>
            <w:r>
              <w:rPr>
                <w:rFonts w:hint="eastAsia" w:ascii="仿宋" w:hAnsi="仿宋" w:eastAsia="仿宋" w:cs="仿宋"/>
                <w:spacing w:val="2"/>
                <w:sz w:val="32"/>
                <w:szCs w:val="32"/>
              </w:rPr>
              <w:t>复印件加盖公章</w:t>
            </w:r>
            <w:bookmarkEnd w:id="17"/>
          </w:p>
        </w:tc>
      </w:tr>
      <w:tr w14:paraId="4CA3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4" w:type="pct"/>
            <w:vAlign w:val="center"/>
          </w:tcPr>
          <w:p w14:paraId="14C6D281">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2</w:t>
            </w:r>
          </w:p>
        </w:tc>
        <w:tc>
          <w:tcPr>
            <w:tcW w:w="3258" w:type="pct"/>
            <w:vAlign w:val="center"/>
          </w:tcPr>
          <w:p w14:paraId="3D77656D">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提供承诺，购销廉洁、诚信承诺书</w:t>
            </w:r>
          </w:p>
        </w:tc>
        <w:tc>
          <w:tcPr>
            <w:tcW w:w="511" w:type="pct"/>
            <w:vAlign w:val="center"/>
          </w:tcPr>
          <w:p w14:paraId="34C1A2BC">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8" w:type="pct"/>
            <w:vAlign w:val="center"/>
          </w:tcPr>
          <w:p w14:paraId="0FCD31FD">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盖章</w:t>
            </w:r>
          </w:p>
        </w:tc>
      </w:tr>
      <w:tr w14:paraId="03BE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4" w:type="pct"/>
            <w:vAlign w:val="center"/>
          </w:tcPr>
          <w:p w14:paraId="2A7AE751">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3</w:t>
            </w:r>
          </w:p>
        </w:tc>
        <w:tc>
          <w:tcPr>
            <w:tcW w:w="3258" w:type="pct"/>
            <w:shd w:val="clear" w:color="auto" w:fill="auto"/>
            <w:vAlign w:val="center"/>
          </w:tcPr>
          <w:p w14:paraId="51F3A04C">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法定代表人授权委托书（法定代表人参与的须提供法定代表人证明书），法定代表人和授权代表的身份证</w:t>
            </w:r>
          </w:p>
        </w:tc>
        <w:tc>
          <w:tcPr>
            <w:tcW w:w="511" w:type="pct"/>
            <w:shd w:val="clear" w:color="auto" w:fill="auto"/>
            <w:vAlign w:val="center"/>
          </w:tcPr>
          <w:p w14:paraId="77B9231A">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8" w:type="pct"/>
            <w:shd w:val="clear" w:color="auto" w:fill="auto"/>
            <w:vAlign w:val="center"/>
          </w:tcPr>
          <w:p w14:paraId="6FA0784C">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盖章</w:t>
            </w:r>
          </w:p>
        </w:tc>
      </w:tr>
      <w:tr w14:paraId="4F78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4" w:type="pct"/>
            <w:vAlign w:val="center"/>
          </w:tcPr>
          <w:p w14:paraId="1E986686">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4</w:t>
            </w:r>
          </w:p>
        </w:tc>
        <w:tc>
          <w:tcPr>
            <w:tcW w:w="3258" w:type="pct"/>
            <w:shd w:val="clear" w:color="auto" w:fill="auto"/>
            <w:vAlign w:val="center"/>
          </w:tcPr>
          <w:p w14:paraId="6A5FC5E1">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供应商通过“信用中国”(</w:t>
            </w:r>
            <w:r>
              <w:fldChar w:fldCharType="begin"/>
            </w:r>
            <w:r>
              <w:instrText xml:space="preserve"> HYPERLINK "http://www.creditchina.gov.cn)" </w:instrText>
            </w:r>
            <w:r>
              <w:fldChar w:fldCharType="separate"/>
            </w:r>
            <w:r>
              <w:rPr>
                <w:rFonts w:hint="eastAsia" w:ascii="仿宋" w:hAnsi="仿宋" w:eastAsia="仿宋" w:cs="仿宋"/>
                <w:spacing w:val="2"/>
                <w:sz w:val="32"/>
                <w:szCs w:val="32"/>
              </w:rPr>
              <w:t>www.creditchina.gov.cn)</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、“中国政府采购网”(www.ccgp.gov.cn)网站查询公告发布之日起前三年的信用记录，无不良记录</w:t>
            </w:r>
          </w:p>
        </w:tc>
        <w:tc>
          <w:tcPr>
            <w:tcW w:w="511" w:type="pct"/>
            <w:shd w:val="clear" w:color="auto" w:fill="auto"/>
            <w:vAlign w:val="center"/>
          </w:tcPr>
          <w:p w14:paraId="00B764ED">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8" w:type="pct"/>
            <w:shd w:val="clear" w:color="auto" w:fill="auto"/>
            <w:vAlign w:val="center"/>
          </w:tcPr>
          <w:p w14:paraId="7E06DFB0">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网页截图盖公章</w:t>
            </w:r>
          </w:p>
        </w:tc>
      </w:tr>
      <w:tr w14:paraId="1F21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4" w:type="pct"/>
            <w:vAlign w:val="center"/>
          </w:tcPr>
          <w:p w14:paraId="6331F9A7">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5</w:t>
            </w:r>
          </w:p>
        </w:tc>
        <w:tc>
          <w:tcPr>
            <w:tcW w:w="3258" w:type="pct"/>
            <w:vAlign w:val="center"/>
          </w:tcPr>
          <w:p w14:paraId="1DF93F35">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涉及产品及其配置产品为医疗器械的，投标人须符合《医疗器械监督管理条例》要求，并针对其自身生产的产品需提供医疗器械生产许可证或生产备案凭证，针对非自身生产的产品需提供医疗器械经营企业许可证或经营备案凭证（已提供包含二类备案的多证合一营业执照的供应商除外）。</w:t>
            </w:r>
          </w:p>
        </w:tc>
        <w:tc>
          <w:tcPr>
            <w:tcW w:w="511" w:type="pct"/>
            <w:vAlign w:val="center"/>
          </w:tcPr>
          <w:p w14:paraId="071D2294">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8" w:type="pct"/>
            <w:vAlign w:val="center"/>
          </w:tcPr>
          <w:p w14:paraId="71BB25E2">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复印件加盖公章</w:t>
            </w:r>
          </w:p>
        </w:tc>
      </w:tr>
      <w:tr w14:paraId="5D1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4" w:type="pct"/>
            <w:vAlign w:val="center"/>
          </w:tcPr>
          <w:p w14:paraId="4F36BD78">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6</w:t>
            </w:r>
          </w:p>
        </w:tc>
        <w:tc>
          <w:tcPr>
            <w:tcW w:w="3258" w:type="pct"/>
            <w:vAlign w:val="center"/>
          </w:tcPr>
          <w:p w14:paraId="287E2A41">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涉及产品及其配置产品为医疗器械的，产品及其配置产品须符合《医疗器械注册与备案管理办法》要求并提供中华人民共和国医疗器械注册证或备案凭证；</w:t>
            </w:r>
          </w:p>
        </w:tc>
        <w:tc>
          <w:tcPr>
            <w:tcW w:w="511" w:type="pct"/>
            <w:vAlign w:val="center"/>
          </w:tcPr>
          <w:p w14:paraId="71D68255">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有效</w:t>
            </w:r>
          </w:p>
        </w:tc>
        <w:tc>
          <w:tcPr>
            <w:tcW w:w="838" w:type="pct"/>
            <w:vAlign w:val="center"/>
          </w:tcPr>
          <w:p w14:paraId="5FB6F66D">
            <w:pPr>
              <w:snapToGrid w:val="0"/>
              <w:contextualSpacing/>
              <w:jc w:val="center"/>
              <w:rPr>
                <w:rFonts w:hint="eastAsia" w:ascii="仿宋" w:hAnsi="仿宋" w:eastAsia="仿宋" w:cs="仿宋"/>
                <w:spacing w:val="2"/>
                <w:sz w:val="32"/>
                <w:szCs w:val="32"/>
              </w:rPr>
            </w:pPr>
            <w:r>
              <w:rPr>
                <w:rFonts w:hint="eastAsia" w:ascii="仿宋" w:hAnsi="仿宋" w:eastAsia="仿宋" w:cs="仿宋"/>
                <w:spacing w:val="2"/>
                <w:sz w:val="32"/>
                <w:szCs w:val="32"/>
              </w:rPr>
              <w:t>复印件加盖公章</w:t>
            </w:r>
          </w:p>
        </w:tc>
      </w:tr>
      <w:tr w14:paraId="3C6B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4" w:type="pct"/>
            <w:vAlign w:val="center"/>
          </w:tcPr>
          <w:p w14:paraId="05829513">
            <w:pPr>
              <w:snapToGrid w:val="0"/>
              <w:contextualSpacing/>
              <w:rPr>
                <w:rFonts w:hint="eastAsia" w:ascii="仿宋" w:hAnsi="仿宋" w:eastAsia="仿宋" w:cs="仿宋"/>
                <w:spacing w:val="2"/>
                <w:sz w:val="32"/>
                <w:szCs w:val="32"/>
              </w:rPr>
            </w:pPr>
          </w:p>
        </w:tc>
        <w:tc>
          <w:tcPr>
            <w:tcW w:w="3258" w:type="pct"/>
            <w:vAlign w:val="center"/>
          </w:tcPr>
          <w:p w14:paraId="34C72787">
            <w:pPr>
              <w:snapToGrid w:val="0"/>
              <w:contextualSpacing/>
              <w:rPr>
                <w:rFonts w:hint="eastAsia" w:ascii="仿宋" w:hAnsi="仿宋" w:eastAsia="仿宋" w:cs="仿宋"/>
                <w:spacing w:val="2"/>
                <w:sz w:val="32"/>
                <w:szCs w:val="32"/>
              </w:rPr>
            </w:pPr>
          </w:p>
        </w:tc>
        <w:tc>
          <w:tcPr>
            <w:tcW w:w="511" w:type="pct"/>
            <w:vAlign w:val="center"/>
          </w:tcPr>
          <w:p w14:paraId="09A03106">
            <w:pPr>
              <w:snapToGrid w:val="0"/>
              <w:contextualSpacing/>
              <w:rPr>
                <w:rFonts w:hint="eastAsia" w:ascii="仿宋" w:hAnsi="仿宋" w:eastAsia="仿宋" w:cs="仿宋"/>
                <w:spacing w:val="2"/>
                <w:sz w:val="32"/>
                <w:szCs w:val="32"/>
              </w:rPr>
            </w:pPr>
          </w:p>
        </w:tc>
        <w:tc>
          <w:tcPr>
            <w:tcW w:w="838" w:type="pct"/>
            <w:vAlign w:val="center"/>
          </w:tcPr>
          <w:p w14:paraId="6811E742">
            <w:pPr>
              <w:snapToGrid w:val="0"/>
              <w:contextualSpacing/>
              <w:rPr>
                <w:rFonts w:hint="eastAsia" w:ascii="仿宋" w:hAnsi="仿宋" w:eastAsia="仿宋" w:cs="仿宋"/>
                <w:spacing w:val="2"/>
                <w:sz w:val="32"/>
                <w:szCs w:val="32"/>
              </w:rPr>
            </w:pPr>
          </w:p>
        </w:tc>
      </w:tr>
    </w:tbl>
    <w:p w14:paraId="24F06D23">
      <w:pPr>
        <w:rPr>
          <w:rFonts w:hint="eastAsia" w:ascii="仿宋" w:hAnsi="仿宋" w:eastAsia="仿宋" w:cs="仿宋"/>
          <w:sz w:val="32"/>
          <w:szCs w:val="32"/>
        </w:rPr>
      </w:pPr>
    </w:p>
    <w:p w14:paraId="051C806D">
      <w:pPr>
        <w:jc w:val="center"/>
        <w:rPr>
          <w:rFonts w:hint="eastAsia" w:ascii="黑体" w:hAnsi="黑体" w:eastAsia="黑体" w:cs="黑体"/>
          <w:sz w:val="36"/>
          <w:szCs w:val="44"/>
        </w:rPr>
      </w:pPr>
      <w:r>
        <w:rPr>
          <w:rFonts w:hint="eastAsia" w:ascii="黑体" w:hAnsi="黑体" w:eastAsia="黑体" w:cs="黑体"/>
          <w:b/>
          <w:sz w:val="36"/>
          <w:szCs w:val="36"/>
        </w:rPr>
        <w:t>第五章  采购项目技术、服务及其他商务要求</w:t>
      </w:r>
    </w:p>
    <w:p w14:paraId="404150B8">
      <w:pPr>
        <w:pStyle w:val="2"/>
        <w:ind w:firstLine="0" w:firstLineChars="0"/>
        <w:rPr>
          <w:rFonts w:hint="eastAsia" w:ascii="仿宋" w:hAnsi="仿宋" w:eastAsia="仿宋" w:cs="仿宋"/>
          <w:b/>
          <w:bCs/>
          <w:spacing w:val="2"/>
          <w:sz w:val="32"/>
          <w:szCs w:val="32"/>
        </w:rPr>
      </w:pPr>
    </w:p>
    <w:p w14:paraId="49A1DCFC">
      <w:pPr>
        <w:pStyle w:val="2"/>
        <w:ind w:firstLine="0" w:firstLineChars="0"/>
        <w:rPr>
          <w:rFonts w:hint="eastAsia" w:ascii="仿宋" w:hAnsi="仿宋" w:eastAsia="仿宋" w:cs="仿宋"/>
          <w:b/>
          <w:bCs/>
          <w:spacing w:val="2"/>
          <w:sz w:val="32"/>
          <w:szCs w:val="32"/>
        </w:rPr>
      </w:pPr>
      <w:r>
        <w:rPr>
          <w:rFonts w:hint="eastAsia" w:ascii="仿宋" w:hAnsi="仿宋" w:eastAsia="仿宋" w:cs="仿宋"/>
          <w:b/>
          <w:bCs/>
          <w:spacing w:val="2"/>
          <w:sz w:val="32"/>
          <w:szCs w:val="32"/>
        </w:rPr>
        <w:t>技术参数要求：</w:t>
      </w:r>
    </w:p>
    <w:p w14:paraId="2613DFE2">
      <w:pPr>
        <w:rPr>
          <w:rFonts w:hint="eastAsia" w:ascii="仿宋" w:hAnsi="仿宋" w:eastAsia="仿宋" w:cs="仿宋"/>
          <w:spacing w:val="2"/>
          <w:sz w:val="32"/>
          <w:szCs w:val="32"/>
        </w:rPr>
      </w:pPr>
      <w:r>
        <w:rPr>
          <w:rFonts w:hint="eastAsia" w:ascii="仿宋" w:hAnsi="仿宋" w:eastAsia="仿宋" w:cs="仿宋"/>
          <w:spacing w:val="2"/>
          <w:sz w:val="32"/>
          <w:szCs w:val="32"/>
        </w:rPr>
        <w:t>冲击波治疗仪1台，限价9.6万元/台：</w:t>
      </w:r>
    </w:p>
    <w:p w14:paraId="7AF03720">
      <w:pPr>
        <w:pStyle w:val="2"/>
        <w:ind w:firstLine="0" w:firstLineChars="0"/>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1.输入功率：≤500VA；</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2.使用电源：220V，50Hz；</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3.▲台面结构，单通道，1个冲击手柄；（实物图）</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4.触摸显示屏，操作便捷；</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5.工作压力：</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(1)▲1～5.6Bar可调，步进为0.1Bar；（提供说明书、彩页）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(2)工作压力显示装置显示值与实际值误差不应超出±10%；</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(3)空压机最大输出压力不大于最大工作压力的 1.5 倍；</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6.能量稳定性：产生的压力波能量的稳定性优于±20%；</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7.▲不同冲击探头的最大能量密度不同，最大能量密度高达5mJ/mm2；（提供说明书、彩页）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8.▲穿透深度：治疗头的最大穿透深度 30mm，误差不应超出±20%；（提供说明书、彩页）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9.脉宽：输出压力波的脉宽为300us，误差不超过±10%；</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10.冲击探头及子弹体的使用寿命为 200 万次；</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11.冲击探头具有准直型和发散式两种治疗探头，标配6种治疗探头，满足不同的临床需求；</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(1)准直式治疗探头规格：6mm、9mm、15mm；</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(2)发散式治疗探头规格：15mm、20mm、25mm</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12.工作频率：冲击探头碰撞频率：1～25Hz可调，步长0.5Hz；</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13.▲内置处方≥200种全身各部位的治疗处方，满足不同的临床需求；（提供说明书、操作界面）</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14.具有搜索、编辑、新增、删除、加载自定义处方的功能；</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15.▲内置4种疼痛评估评价系统：动态VAS、静态VAS、睡眠VAS、面部表情测量，可进行治疗前后的疼痛评估。完成治疗前疼痛评估后且治疗完成后，会自动弹出治疗后疼痛评估界面；（提供说明书、操作界面）</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16.默认冲击次数2000，默认冲击强度2.0Bar，默认冲击频率8Hz，默认治疗参数适配性高，能快捷便利的调整至具体需求的治疗参数；</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17.治疗计数范围：1～9999次可调，1～10时，步长为1；10～100时，步长为10；100～9900时，步长为100；9900～9999时，步长为99，人性化设计，调控精准，满足不同的临床需求；</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18.耐腐蚀性：探头外表面应有良好的耐腐蚀性能，经过耐腐蚀试验后，应无腐蚀痕迹，或经擦拭或简单清洗即可除去的轻微痕迹；</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19.安全提示：治疗仪具有气压不足、次数超限的提示功能；</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20.治疗仪手柄具有自动识别、脱落检测、按键启停的功能；</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21.▲治疗仪具有阶梯压力设置功能，压力从设置值的X%逐渐递增到设置值（X%为阶梯压力）。默认阶梯压力为50%，可在50%~90%之间设置，步进为10%；（提供说明书、彩页）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22.治疗仪具有阶梯频率设置功能，频率从设置值的X%逐渐递增到设置值（X%为阶梯频率）。默认阶梯频率为50%，可在50%~90%之间设置，步进为10%；</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23.具有过压安全装置，保证当供给压力的控制装置失效时，所连接的系统压力不超过最大工作压力的10%；</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24.空气压缩机应具有压力释放装置；</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25.患者数据库管理，可存储患者病例信息；</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26.工作噪声：工作噪声应不大于70dB（A）；</w:t>
      </w:r>
      <w:r>
        <w:rPr>
          <w:rFonts w:hint="eastAsia" w:ascii="仿宋" w:hAnsi="仿宋" w:eastAsia="仿宋" w:cs="仿宋"/>
          <w:spacing w:val="2"/>
          <w:kern w:val="2"/>
          <w:sz w:val="32"/>
          <w:szCs w:val="32"/>
          <w:lang w:val="en-US" w:eastAsia="zh-CN" w:bidi="ar-SA"/>
        </w:rPr>
        <w:br w:type="textWrapping"/>
      </w:r>
    </w:p>
    <w:p w14:paraId="5E51A58A">
      <w:pPr>
        <w:pStyle w:val="2"/>
        <w:ind w:firstLine="0" w:firstLineChars="0"/>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磁振热治疗仪1台，限价2.3万元/台：</w:t>
      </w:r>
    </w:p>
    <w:p w14:paraId="51FCF9F1">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1.输入功率：300VA。</w:t>
      </w:r>
    </w:p>
    <w:p w14:paraId="1E3577CD">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2.工作条件：220V±10%，50Hz±2%。</w:t>
      </w:r>
    </w:p>
    <w:p w14:paraId="49929B66">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3.台面结构，7英寸彩色液晶显示屏，操作面板操作。</w:t>
      </w:r>
    </w:p>
    <w:p w14:paraId="5027F7A8">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4.双通道，标配颈肩温热导子、标准温热导子。</w:t>
      </w:r>
    </w:p>
    <w:p w14:paraId="6E6F2686">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5.一个温热导子由8个热磁振子组成，磁体尺寸：88mm*63mm*19mm，允差±10%。</w:t>
      </w:r>
    </w:p>
    <w:p w14:paraId="05A36A6E">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6.磁场强度：最大磁感应强度38mT，允差±30%。</w:t>
      </w:r>
    </w:p>
    <w:p w14:paraId="3D7BEBCE">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7.振动频率：50Hz±1Hz。</w:t>
      </w:r>
    </w:p>
    <w:p w14:paraId="16FC1FDD">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8.加热方式：40℃、46℃、52℃、58℃、常温五个档可调，误差为±2℃。</w:t>
      </w:r>
    </w:p>
    <w:p w14:paraId="6C42B07E">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9.超温保护装置：具有独立于恒温器的非自动复位的超温保护装置，超温保护装置动作时，应停止输出，应用部分的温度应不超过60℃。</w:t>
      </w:r>
    </w:p>
    <w:p w14:paraId="7CE1316C">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10.6种工作模式：</w:t>
      </w:r>
    </w:p>
    <w:p w14:paraId="7295ABFE">
      <w:pPr>
        <w:pStyle w:val="26"/>
        <w:numPr>
          <w:ilvl w:val="1"/>
          <w:numId w:val="0"/>
        </w:numPr>
        <w:spacing w:line="240" w:lineRule="auto"/>
        <w:ind w:left="880" w:leftChars="0" w:hanging="440" w:firstLineChars="0"/>
        <w:jc w:val="left"/>
        <w:rPr>
          <w:rFonts w:hint="eastAsia" w:ascii="仿宋" w:hAnsi="仿宋" w:eastAsia="仿宋" w:cs="仿宋"/>
          <w:spacing w:val="2"/>
          <w:kern w:val="2"/>
          <w:sz w:val="32"/>
          <w:szCs w:val="32"/>
          <w:lang w:val="en-US" w:eastAsia="zh-CN" w:bidi="ar-SA"/>
        </w:rPr>
      </w:pPr>
      <w:r>
        <w:rPr>
          <w:rFonts w:hint="default" w:ascii="仿宋" w:hAnsi="仿宋" w:eastAsia="仿宋" w:cs="仿宋"/>
          <w:spacing w:val="2"/>
          <w:kern w:val="2"/>
          <w:sz w:val="32"/>
          <w:szCs w:val="32"/>
          <w:lang w:val="en-US" w:eastAsia="zh-CN" w:bidi="ar-SA"/>
        </w:rPr>
        <w:t>(1)</w:t>
      </w:r>
      <w:r>
        <w:rPr>
          <w:rFonts w:hint="eastAsia" w:ascii="仿宋" w:hAnsi="仿宋" w:eastAsia="仿宋" w:cs="仿宋"/>
          <w:spacing w:val="2"/>
          <w:kern w:val="2"/>
          <w:sz w:val="32"/>
          <w:szCs w:val="32"/>
          <w:lang w:val="en-US" w:eastAsia="zh-CN" w:bidi="ar-SA"/>
        </w:rPr>
        <w:t>模式 1：工作周期为 1s，频率 1Hz，占空比 10%。</w:t>
      </w:r>
    </w:p>
    <w:p w14:paraId="195739D6">
      <w:pPr>
        <w:pStyle w:val="26"/>
        <w:numPr>
          <w:ilvl w:val="1"/>
          <w:numId w:val="0"/>
        </w:numPr>
        <w:spacing w:line="240" w:lineRule="auto"/>
        <w:ind w:left="880" w:leftChars="0" w:hanging="440" w:firstLineChars="0"/>
        <w:jc w:val="left"/>
        <w:rPr>
          <w:rFonts w:hint="eastAsia" w:ascii="仿宋" w:hAnsi="仿宋" w:eastAsia="仿宋" w:cs="仿宋"/>
          <w:spacing w:val="2"/>
          <w:kern w:val="2"/>
          <w:sz w:val="32"/>
          <w:szCs w:val="32"/>
          <w:lang w:val="en-US" w:eastAsia="zh-CN" w:bidi="ar-SA"/>
        </w:rPr>
      </w:pPr>
      <w:r>
        <w:rPr>
          <w:rFonts w:hint="default" w:ascii="仿宋" w:hAnsi="仿宋" w:eastAsia="仿宋" w:cs="仿宋"/>
          <w:spacing w:val="2"/>
          <w:kern w:val="2"/>
          <w:sz w:val="32"/>
          <w:szCs w:val="32"/>
          <w:lang w:val="en-US" w:eastAsia="zh-CN" w:bidi="ar-SA"/>
        </w:rPr>
        <w:t>(2)</w:t>
      </w:r>
      <w:r>
        <w:rPr>
          <w:rFonts w:hint="eastAsia" w:ascii="仿宋" w:hAnsi="仿宋" w:eastAsia="仿宋" w:cs="仿宋"/>
          <w:spacing w:val="2"/>
          <w:kern w:val="2"/>
          <w:sz w:val="32"/>
          <w:szCs w:val="32"/>
          <w:lang w:val="en-US" w:eastAsia="zh-CN" w:bidi="ar-SA"/>
        </w:rPr>
        <w:t>模式 2：工作周期为 2s，频率 0.5Hz，占空比 10%。</w:t>
      </w:r>
    </w:p>
    <w:p w14:paraId="0634226F">
      <w:pPr>
        <w:pStyle w:val="26"/>
        <w:numPr>
          <w:ilvl w:val="1"/>
          <w:numId w:val="0"/>
        </w:numPr>
        <w:spacing w:line="240" w:lineRule="auto"/>
        <w:ind w:left="880" w:leftChars="0" w:hanging="440" w:firstLineChars="0"/>
        <w:jc w:val="left"/>
        <w:rPr>
          <w:rFonts w:hint="eastAsia" w:ascii="仿宋" w:hAnsi="仿宋" w:eastAsia="仿宋" w:cs="仿宋"/>
          <w:spacing w:val="2"/>
          <w:kern w:val="2"/>
          <w:sz w:val="32"/>
          <w:szCs w:val="32"/>
          <w:lang w:val="en-US" w:eastAsia="zh-CN" w:bidi="ar-SA"/>
        </w:rPr>
      </w:pPr>
      <w:r>
        <w:rPr>
          <w:rFonts w:hint="default" w:ascii="仿宋" w:hAnsi="仿宋" w:eastAsia="仿宋" w:cs="仿宋"/>
          <w:spacing w:val="2"/>
          <w:kern w:val="2"/>
          <w:sz w:val="32"/>
          <w:szCs w:val="32"/>
          <w:lang w:val="en-US" w:eastAsia="zh-CN" w:bidi="ar-SA"/>
        </w:rPr>
        <w:t>(3)</w:t>
      </w:r>
      <w:r>
        <w:rPr>
          <w:rFonts w:hint="eastAsia" w:ascii="仿宋" w:hAnsi="仿宋" w:eastAsia="仿宋" w:cs="仿宋"/>
          <w:spacing w:val="2"/>
          <w:kern w:val="2"/>
          <w:sz w:val="32"/>
          <w:szCs w:val="32"/>
          <w:lang w:val="en-US" w:eastAsia="zh-CN" w:bidi="ar-SA"/>
        </w:rPr>
        <w:t>模式 3：工作周期为 2.5s，频率 0.4Hz，占空比 8%。</w:t>
      </w:r>
    </w:p>
    <w:p w14:paraId="60BE01CC">
      <w:pPr>
        <w:pStyle w:val="26"/>
        <w:numPr>
          <w:ilvl w:val="1"/>
          <w:numId w:val="0"/>
        </w:numPr>
        <w:spacing w:line="240" w:lineRule="auto"/>
        <w:ind w:left="880" w:leftChars="0" w:hanging="440" w:firstLineChars="0"/>
        <w:jc w:val="left"/>
        <w:rPr>
          <w:rFonts w:hint="eastAsia" w:ascii="仿宋" w:hAnsi="仿宋" w:eastAsia="仿宋" w:cs="仿宋"/>
          <w:spacing w:val="2"/>
          <w:kern w:val="2"/>
          <w:sz w:val="32"/>
          <w:szCs w:val="32"/>
          <w:lang w:val="en-US" w:eastAsia="zh-CN" w:bidi="ar-SA"/>
        </w:rPr>
      </w:pPr>
      <w:r>
        <w:rPr>
          <w:rFonts w:hint="default" w:ascii="仿宋" w:hAnsi="仿宋" w:eastAsia="仿宋" w:cs="仿宋"/>
          <w:spacing w:val="2"/>
          <w:kern w:val="2"/>
          <w:sz w:val="32"/>
          <w:szCs w:val="32"/>
          <w:lang w:val="en-US" w:eastAsia="zh-CN" w:bidi="ar-SA"/>
        </w:rPr>
        <w:t>(4)</w:t>
      </w:r>
      <w:r>
        <w:rPr>
          <w:rFonts w:hint="eastAsia" w:ascii="仿宋" w:hAnsi="仿宋" w:eastAsia="仿宋" w:cs="仿宋"/>
          <w:spacing w:val="2"/>
          <w:kern w:val="2"/>
          <w:sz w:val="32"/>
          <w:szCs w:val="32"/>
          <w:lang w:val="en-US" w:eastAsia="zh-CN" w:bidi="ar-SA"/>
        </w:rPr>
        <w:t>模式 4：工作周期为 3s，频率 0.33Hz，占空比 13.33%。</w:t>
      </w:r>
    </w:p>
    <w:p w14:paraId="613FECCF">
      <w:pPr>
        <w:pStyle w:val="26"/>
        <w:numPr>
          <w:ilvl w:val="1"/>
          <w:numId w:val="0"/>
        </w:numPr>
        <w:spacing w:line="240" w:lineRule="auto"/>
        <w:ind w:left="880" w:leftChars="0" w:hanging="440" w:firstLineChars="0"/>
        <w:jc w:val="left"/>
        <w:rPr>
          <w:rFonts w:hint="eastAsia" w:ascii="仿宋" w:hAnsi="仿宋" w:eastAsia="仿宋" w:cs="仿宋"/>
          <w:spacing w:val="2"/>
          <w:kern w:val="2"/>
          <w:sz w:val="32"/>
          <w:szCs w:val="32"/>
          <w:lang w:val="en-US" w:eastAsia="zh-CN" w:bidi="ar-SA"/>
        </w:rPr>
      </w:pPr>
      <w:r>
        <w:rPr>
          <w:rFonts w:hint="default" w:ascii="仿宋" w:hAnsi="仿宋" w:eastAsia="仿宋" w:cs="仿宋"/>
          <w:spacing w:val="2"/>
          <w:kern w:val="2"/>
          <w:sz w:val="32"/>
          <w:szCs w:val="32"/>
          <w:lang w:val="en-US" w:eastAsia="zh-CN" w:bidi="ar-SA"/>
        </w:rPr>
        <w:t>(5)</w:t>
      </w:r>
      <w:r>
        <w:rPr>
          <w:rFonts w:hint="eastAsia" w:ascii="仿宋" w:hAnsi="仿宋" w:eastAsia="仿宋" w:cs="仿宋"/>
          <w:spacing w:val="2"/>
          <w:kern w:val="2"/>
          <w:sz w:val="32"/>
          <w:szCs w:val="32"/>
          <w:lang w:val="en-US" w:eastAsia="zh-CN" w:bidi="ar-SA"/>
        </w:rPr>
        <w:t>模式 5：工作周期为 4s，频率 0.25Hz，占空比 25%。</w:t>
      </w:r>
    </w:p>
    <w:p w14:paraId="24F0A177">
      <w:pPr>
        <w:pStyle w:val="26"/>
        <w:numPr>
          <w:ilvl w:val="1"/>
          <w:numId w:val="0"/>
        </w:numPr>
        <w:spacing w:line="240" w:lineRule="auto"/>
        <w:ind w:left="880" w:leftChars="0" w:hanging="440" w:firstLineChars="0"/>
        <w:jc w:val="left"/>
        <w:rPr>
          <w:rFonts w:hint="eastAsia" w:ascii="仿宋" w:hAnsi="仿宋" w:eastAsia="仿宋" w:cs="仿宋"/>
          <w:spacing w:val="2"/>
          <w:kern w:val="2"/>
          <w:sz w:val="32"/>
          <w:szCs w:val="32"/>
          <w:lang w:val="en-US" w:eastAsia="zh-CN" w:bidi="ar-SA"/>
        </w:rPr>
      </w:pPr>
      <w:r>
        <w:rPr>
          <w:rFonts w:hint="default" w:ascii="仿宋" w:hAnsi="仿宋" w:eastAsia="仿宋" w:cs="仿宋"/>
          <w:spacing w:val="2"/>
          <w:kern w:val="2"/>
          <w:sz w:val="32"/>
          <w:szCs w:val="32"/>
          <w:lang w:val="en-US" w:eastAsia="zh-CN" w:bidi="ar-SA"/>
        </w:rPr>
        <w:t>(6)</w:t>
      </w:r>
      <w:r>
        <w:rPr>
          <w:rFonts w:hint="eastAsia" w:ascii="仿宋" w:hAnsi="仿宋" w:eastAsia="仿宋" w:cs="仿宋"/>
          <w:spacing w:val="2"/>
          <w:kern w:val="2"/>
          <w:sz w:val="32"/>
          <w:szCs w:val="32"/>
          <w:lang w:val="en-US" w:eastAsia="zh-CN" w:bidi="ar-SA"/>
        </w:rPr>
        <w:t>模式 6：工作周期为 5s，2 种脉冲交替，第一种：频率 0.71Hz，占空比 29%。第二种：频率 0.28Hz，占空比 11%。</w:t>
      </w:r>
    </w:p>
    <w:p w14:paraId="6454C200">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11.治疗时间：1～60min，步进1min，误差±10%。</w:t>
      </w:r>
    </w:p>
    <w:p w14:paraId="0769EF58">
      <w:pPr>
        <w:pStyle w:val="26"/>
        <w:numPr>
          <w:ilvl w:val="0"/>
          <w:numId w:val="0"/>
        </w:numPr>
        <w:spacing w:line="288" w:lineRule="auto"/>
        <w:ind w:left="440" w:leftChars="0" w:hanging="440" w:firstLineChars="0"/>
        <w:jc w:val="left"/>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12.连续工作时间：＞8h。</w:t>
      </w:r>
    </w:p>
    <w:p w14:paraId="68C6A490">
      <w:pPr>
        <w:rPr>
          <w:rFonts w:hint="eastAsia" w:ascii="仿宋" w:hAnsi="仿宋" w:eastAsia="仿宋" w:cs="仿宋"/>
          <w:spacing w:val="2"/>
          <w:kern w:val="2"/>
          <w:sz w:val="32"/>
          <w:szCs w:val="32"/>
          <w:lang w:val="en-US" w:eastAsia="zh-CN" w:bidi="ar-SA"/>
        </w:rPr>
      </w:pPr>
    </w:p>
    <w:p w14:paraId="00E52A42">
      <w:pPr>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 xml:space="preserve">电动牵引装置2台，限价1.8万元/台： </w:t>
      </w:r>
    </w:p>
    <w:p w14:paraId="60D4D642">
      <w:pPr>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1.输入功率：≤180VA；</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2.使用电源：220V，50Hz；</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3.数码管、按键操作；</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4.牵引模式：颈椎牵引、腰椎牵引；</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5.床板尺寸（长*宽*高）：1950mm*570mm*550mm，背板长度700mm，腿板长度1250mm；</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6.▲内置8种牵引模式：持续式牵引模式、持续式上阶梯牵引模式、间歇式牵引模式、间歇式上阶梯牵引模式、间歇式上下阶梯牵引模式、反复式牵引模式、反复式上阶梯牵引模式、反复式上下阶梯牵引模式；（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7.▲输出指示：在整个治疗过程中，所选择的牵引模式以及至少包括牵引力、牵引相时间、间歇相时间和治疗时间在内的输出参数，应在设备上连续显示；（提供说明书、彩页）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8.牵引力：</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(1)颈椎牵引力可调范围：0～300N，步长为1N，在牵引力调节至200N以上时，发出警告并要求操作者确认；</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(2)腰椎牵引力可调范围：0～990N，步长为1N；</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9.颈椎牵引渐进期和渐退期平均牵引力变化速率为60N/s；</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10.▲腰椎牵引渐进期和渐退期平均牵引力变化速率为90N/s；（提供说明书、彩页）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11.牵引补偿：由于外力作用而使患者端突然拉紧或松弛时，设备应自动恢复预设值；</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12.设备具有牵引力实时监测功能，允差±30N；</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13.治疗时间可调范围：0～99min，步长为1min；</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14.牵引相时间可调范围：0～9min，步长为1min；</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15.间歇相时间可调范围：0～9min，步长为1min；</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16.设备具有紧急保护措施，在牵引治疗过程中，按下急退按键，可使牵引力松弛至初始状态；</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17.行程范围：腰牵滑动行程范围为：0～200mm，颈牵滑动行程范围为：0～300mm；</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18.▲承载：</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(1)牵引用床能够承受的患者体重为≥180kg；（提供说明书、彩页）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(2)牵引用椅能够承受的患者体重为≥180kg；（提供说明书、彩页）</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19.设备具有加热床垫、颈部加热带，加热功能可单独开启或关闭。最高温度不超过41℃；</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20.稳定性：</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(1)牵引用床应定位稳定，在200N水平力作用下应不发生位移和失衡；</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(2)牵引用椅应定位稳定，在均布50kg负载时，在200N水平力作用下应不发生移动，且任意方向施加200N作用下应不会使椅的任何部分离开地面或倾翻。</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21.▲连接牢固度：</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(1)牵引用床与固定带、固定架、滑轮或牵引绳直接连接的结构件应牢固可靠，在任意方向500N和牵引方向2000N作用下，应不发生松脱、塑性变形或断裂</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(2)牵引用椅与固定带、固定架、滑轮或牵引绳直接连接的结构件应牢固可靠，在任意方向200N和牵引方向500N作用下，应不发生松脱、塑性变形或断裂；</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22.电源中断及恢复通电后，设备牵引力恢复至初始状态；</w:t>
      </w:r>
      <w:r>
        <w:rPr>
          <w:rFonts w:hint="eastAsia" w:ascii="仿宋" w:hAnsi="仿宋" w:eastAsia="仿宋" w:cs="仿宋"/>
          <w:spacing w:val="2"/>
          <w:kern w:val="2"/>
          <w:sz w:val="32"/>
          <w:szCs w:val="32"/>
          <w:lang w:val="en-US" w:eastAsia="zh-CN" w:bidi="ar-SA"/>
        </w:rPr>
        <w:br w:type="textWrapping"/>
      </w:r>
      <w:r>
        <w:rPr>
          <w:rFonts w:hint="eastAsia" w:ascii="仿宋" w:hAnsi="仿宋" w:eastAsia="仿宋" w:cs="仿宋"/>
          <w:spacing w:val="2"/>
          <w:kern w:val="2"/>
          <w:sz w:val="32"/>
          <w:szCs w:val="32"/>
          <w:lang w:val="en-US" w:eastAsia="zh-CN" w:bidi="ar-SA"/>
        </w:rPr>
        <w:t>23.在正常工作时噪声不大于60dB；</w:t>
      </w:r>
    </w:p>
    <w:p w14:paraId="16BF26A7">
      <w:pPr>
        <w:pStyle w:val="2"/>
        <w:ind w:firstLine="0" w:firstLineChars="0"/>
        <w:rPr>
          <w:sz w:val="32"/>
          <w:szCs w:val="40"/>
        </w:rPr>
      </w:pPr>
    </w:p>
    <w:p w14:paraId="1CE7C76E">
      <w:pPr>
        <w:pStyle w:val="2"/>
        <w:ind w:firstLine="0" w:firstLineChars="0"/>
        <w:rPr>
          <w:rFonts w:hint="eastAsia" w:ascii="仿宋" w:hAnsi="仿宋" w:eastAsia="仿宋" w:cs="仿宋"/>
          <w:b/>
          <w:bCs/>
          <w:sz w:val="32"/>
          <w:szCs w:val="32"/>
        </w:rPr>
      </w:pPr>
      <w:r>
        <w:rPr>
          <w:rFonts w:hint="eastAsia" w:ascii="仿宋" w:hAnsi="仿宋" w:eastAsia="仿宋" w:cs="仿宋"/>
          <w:b/>
          <w:bCs/>
          <w:sz w:val="32"/>
          <w:szCs w:val="32"/>
        </w:rPr>
        <w:t>商务要求：</w:t>
      </w:r>
    </w:p>
    <w:p w14:paraId="5D9AA1D2">
      <w:pPr>
        <w:rPr>
          <w:rFonts w:hint="eastAsia" w:ascii="仿宋" w:hAnsi="仿宋" w:eastAsia="仿宋" w:cs="仿宋"/>
          <w:spacing w:val="2"/>
          <w:sz w:val="32"/>
          <w:szCs w:val="32"/>
        </w:rPr>
      </w:pPr>
      <w:r>
        <w:rPr>
          <w:rFonts w:hint="eastAsia" w:ascii="仿宋" w:hAnsi="仿宋" w:eastAsia="仿宋" w:cs="仿宋"/>
          <w:spacing w:val="2"/>
          <w:sz w:val="32"/>
          <w:szCs w:val="32"/>
        </w:rPr>
        <w:t>1.响应时间：签订合同后3日内送货到冠英镇卫生院，并完成服务内容。</w:t>
      </w:r>
    </w:p>
    <w:p w14:paraId="15BD224B">
      <w:pPr>
        <w:rPr>
          <w:rFonts w:hint="eastAsia" w:ascii="仿宋" w:hAnsi="仿宋" w:eastAsia="仿宋" w:cs="仿宋"/>
          <w:spacing w:val="2"/>
          <w:sz w:val="32"/>
          <w:szCs w:val="32"/>
        </w:rPr>
      </w:pPr>
      <w:r>
        <w:rPr>
          <w:rFonts w:hint="eastAsia" w:ascii="仿宋" w:hAnsi="仿宋" w:eastAsia="仿宋" w:cs="仿宋"/>
          <w:spacing w:val="2"/>
          <w:sz w:val="32"/>
          <w:szCs w:val="32"/>
        </w:rPr>
        <w:t>2.服务要求：严格按照医院的要求进行送货、安装、调试，确保顺利使用。</w:t>
      </w:r>
    </w:p>
    <w:p w14:paraId="465B2043">
      <w:pPr>
        <w:rPr>
          <w:rFonts w:hint="eastAsia" w:ascii="仿宋" w:hAnsi="仿宋" w:eastAsia="仿宋" w:cs="仿宋"/>
          <w:spacing w:val="2"/>
          <w:sz w:val="32"/>
          <w:szCs w:val="32"/>
        </w:rPr>
      </w:pPr>
      <w:r>
        <w:rPr>
          <w:rFonts w:hint="eastAsia" w:ascii="仿宋" w:hAnsi="仿宋" w:eastAsia="仿宋" w:cs="仿宋"/>
          <w:spacing w:val="2"/>
          <w:sz w:val="32"/>
          <w:szCs w:val="32"/>
        </w:rPr>
        <w:t>3.付款方式：交付并验收合格后，提供相关票据，60日内支付全款。</w:t>
      </w:r>
    </w:p>
    <w:p w14:paraId="0832E7F1">
      <w:pPr>
        <w:rPr>
          <w:rFonts w:hint="eastAsia" w:ascii="仿宋" w:hAnsi="仿宋" w:eastAsia="仿宋" w:cs="仿宋"/>
          <w:spacing w:val="2"/>
          <w:sz w:val="32"/>
          <w:szCs w:val="32"/>
        </w:rPr>
      </w:pPr>
      <w:r>
        <w:rPr>
          <w:rFonts w:hint="eastAsia" w:ascii="仿宋" w:hAnsi="仿宋" w:eastAsia="仿宋" w:cs="仿宋"/>
          <w:spacing w:val="2"/>
          <w:sz w:val="32"/>
          <w:szCs w:val="32"/>
        </w:rPr>
        <w:t>4.质量要求：交付的货物或服务需符合合同约定的质量标准，包括技术规格、性能指标、外观要求等。</w:t>
      </w:r>
    </w:p>
    <w:p w14:paraId="0FDE6AA0">
      <w:pPr>
        <w:rPr>
          <w:rFonts w:hint="eastAsia" w:ascii="仿宋" w:hAnsi="仿宋" w:eastAsia="仿宋" w:cs="仿宋"/>
          <w:spacing w:val="2"/>
          <w:sz w:val="32"/>
          <w:szCs w:val="32"/>
        </w:rPr>
      </w:pPr>
      <w:r>
        <w:rPr>
          <w:rFonts w:hint="eastAsia" w:ascii="仿宋" w:hAnsi="仿宋" w:eastAsia="仿宋" w:cs="仿宋"/>
          <w:spacing w:val="2"/>
          <w:sz w:val="32"/>
          <w:szCs w:val="32"/>
        </w:rPr>
        <w:t>5.违约责任及解决争议的方法：合同履行期间，若双方发生争议，可协商或由有关部门协调解决，协商或协调不成功的，双方可向五通桥区人民法院提起诉讼依法维护其合法权益。</w:t>
      </w:r>
    </w:p>
    <w:p w14:paraId="3D440879">
      <w:pPr>
        <w:pStyle w:val="2"/>
        <w:ind w:firstLine="210"/>
      </w:pPr>
    </w:p>
    <w:p w14:paraId="51229426"/>
    <w:tbl>
      <w:tblPr>
        <w:tblStyle w:val="17"/>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1455"/>
        <w:gridCol w:w="997"/>
        <w:gridCol w:w="5384"/>
        <w:gridCol w:w="1328"/>
      </w:tblGrid>
      <w:tr w14:paraId="7CEC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7" w:type="pct"/>
            <w:vAlign w:val="center"/>
          </w:tcPr>
          <w:p w14:paraId="1FE030FE">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718" w:type="pct"/>
            <w:vAlign w:val="center"/>
          </w:tcPr>
          <w:p w14:paraId="78DEAE35">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总评分因素及权重</w:t>
            </w:r>
          </w:p>
        </w:tc>
        <w:tc>
          <w:tcPr>
            <w:tcW w:w="492" w:type="pct"/>
            <w:vAlign w:val="center"/>
          </w:tcPr>
          <w:p w14:paraId="6C2CDBBB">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分项分值</w:t>
            </w:r>
          </w:p>
        </w:tc>
        <w:tc>
          <w:tcPr>
            <w:tcW w:w="2656" w:type="pct"/>
            <w:vAlign w:val="center"/>
          </w:tcPr>
          <w:p w14:paraId="5D217C5D">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评分标准</w:t>
            </w:r>
          </w:p>
        </w:tc>
        <w:tc>
          <w:tcPr>
            <w:tcW w:w="655" w:type="pct"/>
            <w:vAlign w:val="center"/>
          </w:tcPr>
          <w:p w14:paraId="7612B978">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说明</w:t>
            </w:r>
          </w:p>
        </w:tc>
      </w:tr>
      <w:tr w14:paraId="5914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77" w:type="pct"/>
            <w:vAlign w:val="center"/>
          </w:tcPr>
          <w:p w14:paraId="718FD1C3">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1</w:t>
            </w:r>
          </w:p>
        </w:tc>
        <w:tc>
          <w:tcPr>
            <w:tcW w:w="718" w:type="pct"/>
            <w:vAlign w:val="center"/>
          </w:tcPr>
          <w:p w14:paraId="45ACF849">
            <w:pPr>
              <w:snapToGrid w:val="0"/>
              <w:contextualSpacing/>
              <w:rPr>
                <w:rFonts w:hint="eastAsia" w:ascii="仿宋" w:hAnsi="仿宋" w:eastAsia="仿宋" w:cs="仿宋"/>
                <w:spacing w:val="2"/>
                <w:sz w:val="32"/>
                <w:szCs w:val="32"/>
              </w:rPr>
            </w:pPr>
          </w:p>
          <w:p w14:paraId="34DB1D56">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报价30%</w:t>
            </w:r>
          </w:p>
          <w:p w14:paraId="5044DE63">
            <w:pPr>
              <w:snapToGrid w:val="0"/>
              <w:contextualSpacing/>
              <w:rPr>
                <w:rFonts w:hint="eastAsia" w:ascii="仿宋" w:hAnsi="仿宋" w:eastAsia="仿宋" w:cs="仿宋"/>
                <w:spacing w:val="2"/>
                <w:sz w:val="32"/>
                <w:szCs w:val="32"/>
              </w:rPr>
            </w:pPr>
          </w:p>
        </w:tc>
        <w:tc>
          <w:tcPr>
            <w:tcW w:w="492" w:type="pct"/>
            <w:vAlign w:val="center"/>
          </w:tcPr>
          <w:p w14:paraId="5793ABC0">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30分</w:t>
            </w:r>
          </w:p>
        </w:tc>
        <w:tc>
          <w:tcPr>
            <w:tcW w:w="2656" w:type="pct"/>
            <w:vAlign w:val="center"/>
          </w:tcPr>
          <w:p w14:paraId="746522F0">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以本次最低有效投标报价为基准价，投标报价得分=(基准价／投标报价)×30。</w:t>
            </w:r>
          </w:p>
          <w:p w14:paraId="63AB0C85">
            <w:pPr>
              <w:snapToGrid w:val="0"/>
              <w:contextualSpacing/>
              <w:rPr>
                <w:rFonts w:hint="eastAsia" w:ascii="仿宋" w:hAnsi="仿宋" w:eastAsia="仿宋" w:cs="仿宋"/>
                <w:spacing w:val="2"/>
                <w:sz w:val="32"/>
                <w:szCs w:val="32"/>
              </w:rPr>
            </w:pPr>
          </w:p>
        </w:tc>
        <w:tc>
          <w:tcPr>
            <w:tcW w:w="655" w:type="pct"/>
            <w:vAlign w:val="center"/>
          </w:tcPr>
          <w:p w14:paraId="539B4629">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共同评分因素</w:t>
            </w:r>
          </w:p>
        </w:tc>
      </w:tr>
      <w:tr w14:paraId="3E61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77" w:type="pct"/>
            <w:vAlign w:val="center"/>
          </w:tcPr>
          <w:p w14:paraId="439D2256">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2</w:t>
            </w:r>
          </w:p>
        </w:tc>
        <w:tc>
          <w:tcPr>
            <w:tcW w:w="718" w:type="pct"/>
          </w:tcPr>
          <w:p w14:paraId="0A22C52C">
            <w:pPr>
              <w:snapToGrid w:val="0"/>
              <w:contextualSpacing/>
              <w:rPr>
                <w:rFonts w:hint="eastAsia" w:ascii="仿宋" w:hAnsi="仿宋" w:eastAsia="仿宋" w:cs="仿宋"/>
                <w:spacing w:val="2"/>
                <w:sz w:val="32"/>
                <w:szCs w:val="32"/>
              </w:rPr>
            </w:pPr>
          </w:p>
          <w:p w14:paraId="21C7DF0C">
            <w:pPr>
              <w:snapToGrid w:val="0"/>
              <w:contextualSpacing/>
              <w:rPr>
                <w:rFonts w:hint="eastAsia" w:ascii="仿宋" w:hAnsi="仿宋" w:eastAsia="仿宋" w:cs="仿宋"/>
                <w:spacing w:val="2"/>
                <w:sz w:val="32"/>
                <w:szCs w:val="32"/>
              </w:rPr>
            </w:pPr>
          </w:p>
          <w:p w14:paraId="53C93EFD">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产品配置性能技术45%</w:t>
            </w:r>
          </w:p>
        </w:tc>
        <w:tc>
          <w:tcPr>
            <w:tcW w:w="492" w:type="pct"/>
          </w:tcPr>
          <w:p w14:paraId="571F2847">
            <w:pPr>
              <w:snapToGrid w:val="0"/>
              <w:contextualSpacing/>
              <w:rPr>
                <w:rFonts w:hint="eastAsia" w:ascii="仿宋" w:hAnsi="仿宋" w:eastAsia="仿宋" w:cs="仿宋"/>
                <w:spacing w:val="2"/>
                <w:sz w:val="32"/>
                <w:szCs w:val="32"/>
              </w:rPr>
            </w:pPr>
          </w:p>
          <w:p w14:paraId="02B34C29">
            <w:pPr>
              <w:snapToGrid w:val="0"/>
              <w:contextualSpacing/>
              <w:rPr>
                <w:rFonts w:hint="eastAsia" w:ascii="仿宋" w:hAnsi="仿宋" w:eastAsia="仿宋" w:cs="仿宋"/>
                <w:spacing w:val="2"/>
                <w:sz w:val="32"/>
                <w:szCs w:val="32"/>
              </w:rPr>
            </w:pPr>
          </w:p>
          <w:p w14:paraId="0A761E4F">
            <w:pPr>
              <w:snapToGrid w:val="0"/>
              <w:contextualSpacing/>
              <w:rPr>
                <w:rFonts w:hint="eastAsia" w:ascii="仿宋" w:hAnsi="仿宋" w:eastAsia="仿宋" w:cs="仿宋"/>
                <w:spacing w:val="2"/>
                <w:sz w:val="32"/>
                <w:szCs w:val="32"/>
              </w:rPr>
            </w:pPr>
          </w:p>
          <w:p w14:paraId="4931F612">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45分</w:t>
            </w:r>
          </w:p>
        </w:tc>
        <w:tc>
          <w:tcPr>
            <w:tcW w:w="2656" w:type="pct"/>
          </w:tcPr>
          <w:p w14:paraId="37AA51B7">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技术参数完全符合招标文件技术要求的得45分；</w:t>
            </w:r>
          </w:p>
          <w:p w14:paraId="554EC766">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1、带“▲”项参数为本次招标项目的“主要指标”一项不满足扣2分；</w:t>
            </w:r>
          </w:p>
          <w:p w14:paraId="79736F49">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 xml:space="preserve">2、其他的为“一般指标”，一项不满足扣0.5分。 </w:t>
            </w:r>
          </w:p>
          <w:p w14:paraId="21D31990">
            <w:pPr>
              <w:snapToGrid w:val="0"/>
              <w:contextualSpacing/>
              <w:rPr>
                <w:rFonts w:hint="eastAsia" w:ascii="仿宋" w:hAnsi="仿宋" w:eastAsia="仿宋" w:cs="仿宋"/>
                <w:spacing w:val="2"/>
                <w:sz w:val="32"/>
                <w:szCs w:val="32"/>
              </w:rPr>
            </w:pPr>
          </w:p>
        </w:tc>
        <w:tc>
          <w:tcPr>
            <w:tcW w:w="655" w:type="pct"/>
            <w:vAlign w:val="center"/>
          </w:tcPr>
          <w:p w14:paraId="1368F0B2">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技术类评分因素</w:t>
            </w:r>
          </w:p>
          <w:p w14:paraId="79DBA8F7">
            <w:pPr>
              <w:snapToGrid w:val="0"/>
              <w:contextualSpacing/>
              <w:rPr>
                <w:rFonts w:hint="eastAsia" w:ascii="仿宋" w:hAnsi="仿宋" w:eastAsia="仿宋" w:cs="仿宋"/>
                <w:spacing w:val="2"/>
                <w:sz w:val="32"/>
                <w:szCs w:val="32"/>
              </w:rPr>
            </w:pPr>
          </w:p>
        </w:tc>
      </w:tr>
      <w:tr w14:paraId="2507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77" w:type="pct"/>
            <w:vAlign w:val="center"/>
          </w:tcPr>
          <w:p w14:paraId="0B47EB27">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3</w:t>
            </w:r>
          </w:p>
        </w:tc>
        <w:tc>
          <w:tcPr>
            <w:tcW w:w="718" w:type="pct"/>
            <w:vAlign w:val="center"/>
          </w:tcPr>
          <w:p w14:paraId="27B7CAA9">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项目实施方案22%</w:t>
            </w:r>
          </w:p>
        </w:tc>
        <w:tc>
          <w:tcPr>
            <w:tcW w:w="492" w:type="pct"/>
            <w:vAlign w:val="center"/>
          </w:tcPr>
          <w:p w14:paraId="571280F6">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22分</w:t>
            </w:r>
          </w:p>
        </w:tc>
        <w:tc>
          <w:tcPr>
            <w:tcW w:w="2656" w:type="pct"/>
            <w:vAlign w:val="center"/>
          </w:tcPr>
          <w:p w14:paraId="72503C8A">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1、根据投标人针对本项目提供的供货服务方案，包括但不限于：①运输方式②供货期保障措施③供货人员安排等进行综合评分，</w:t>
            </w:r>
            <w:r>
              <w:rPr>
                <w:rFonts w:hint="eastAsia" w:ascii="仿宋" w:hAnsi="仿宋" w:eastAsia="仿宋" w:cs="仿宋"/>
                <w:spacing w:val="2"/>
                <w:sz w:val="32"/>
                <w:szCs w:val="32"/>
                <w:lang w:val="zh-CN"/>
              </w:rPr>
              <w:t>以上内容符合实际情况、内容完善、完全响应采购要求得</w:t>
            </w:r>
            <w:r>
              <w:rPr>
                <w:rFonts w:hint="eastAsia" w:ascii="仿宋" w:hAnsi="仿宋" w:eastAsia="仿宋" w:cs="仿宋"/>
                <w:spacing w:val="2"/>
                <w:sz w:val="32"/>
                <w:szCs w:val="32"/>
              </w:rPr>
              <w:t>6</w:t>
            </w:r>
            <w:r>
              <w:rPr>
                <w:rFonts w:hint="eastAsia" w:ascii="仿宋" w:hAnsi="仿宋" w:eastAsia="仿宋" w:cs="仿宋"/>
                <w:spacing w:val="2"/>
                <w:sz w:val="32"/>
                <w:szCs w:val="32"/>
                <w:lang w:val="zh-CN"/>
              </w:rPr>
              <w:t>分，每缺漏一项扣</w:t>
            </w:r>
            <w:r>
              <w:rPr>
                <w:rFonts w:hint="eastAsia" w:ascii="仿宋" w:hAnsi="仿宋" w:eastAsia="仿宋" w:cs="仿宋"/>
                <w:spacing w:val="2"/>
                <w:sz w:val="32"/>
                <w:szCs w:val="32"/>
              </w:rPr>
              <w:t>2</w:t>
            </w:r>
            <w:r>
              <w:rPr>
                <w:rFonts w:hint="eastAsia" w:ascii="仿宋" w:hAnsi="仿宋" w:eastAsia="仿宋" w:cs="仿宋"/>
                <w:spacing w:val="2"/>
                <w:sz w:val="32"/>
                <w:szCs w:val="32"/>
                <w:lang w:val="zh-CN"/>
              </w:rPr>
              <w:t>分，每有一处内容缺陷</w:t>
            </w:r>
            <w:r>
              <w:rPr>
                <w:rFonts w:hint="eastAsia" w:ascii="仿宋" w:hAnsi="仿宋" w:eastAsia="仿宋" w:cs="仿宋"/>
                <w:spacing w:val="2"/>
                <w:sz w:val="32"/>
                <w:szCs w:val="32"/>
              </w:rPr>
              <w:t>（缺陷是指：存在不适用项目实际情况的情形、凭空编造、内容前后不一致、前后逻辑错误、涉及的规范及标准错误、地点区域错误、内容缺失、</w:t>
            </w:r>
            <w:r>
              <w:rPr>
                <w:rFonts w:hint="eastAsia" w:ascii="仿宋" w:hAnsi="仿宋" w:eastAsia="仿宋" w:cs="仿宋"/>
                <w:spacing w:val="2"/>
                <w:sz w:val="32"/>
                <w:szCs w:val="32"/>
                <w:lang w:val="zh-CN"/>
              </w:rPr>
              <w:t>与项目实施特点不匹配</w:t>
            </w:r>
            <w:r>
              <w:rPr>
                <w:rFonts w:hint="eastAsia" w:ascii="仿宋" w:hAnsi="仿宋" w:eastAsia="仿宋" w:cs="仿宋"/>
                <w:spacing w:val="2"/>
                <w:sz w:val="32"/>
                <w:szCs w:val="32"/>
              </w:rPr>
              <w:t>等）</w:t>
            </w:r>
            <w:r>
              <w:rPr>
                <w:rFonts w:hint="eastAsia" w:ascii="仿宋" w:hAnsi="仿宋" w:eastAsia="仿宋" w:cs="仿宋"/>
                <w:spacing w:val="2"/>
                <w:sz w:val="32"/>
                <w:szCs w:val="32"/>
                <w:lang w:val="zh-CN"/>
              </w:rPr>
              <w:t>扣</w:t>
            </w:r>
            <w:r>
              <w:rPr>
                <w:rFonts w:hint="eastAsia" w:ascii="仿宋" w:hAnsi="仿宋" w:eastAsia="仿宋" w:cs="仿宋"/>
                <w:spacing w:val="2"/>
                <w:sz w:val="32"/>
                <w:szCs w:val="32"/>
              </w:rPr>
              <w:t>1</w:t>
            </w:r>
            <w:r>
              <w:rPr>
                <w:rFonts w:hint="eastAsia" w:ascii="仿宋" w:hAnsi="仿宋" w:eastAsia="仿宋" w:cs="仿宋"/>
                <w:spacing w:val="2"/>
                <w:sz w:val="32"/>
                <w:szCs w:val="32"/>
                <w:lang w:val="zh-CN"/>
              </w:rPr>
              <w:t>分，扣完为止。</w:t>
            </w:r>
          </w:p>
          <w:p w14:paraId="7E542D7E">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2、根据投标人针对本项目提供的人员培训方案，包括但不限于：</w:t>
            </w:r>
            <w:r>
              <w:rPr>
                <w:rFonts w:hint="eastAsia" w:ascii="仿宋" w:hAnsi="仿宋" w:eastAsia="仿宋" w:cs="仿宋"/>
                <w:spacing w:val="2"/>
                <w:sz w:val="32"/>
                <w:szCs w:val="32"/>
                <w:lang w:val="zh-CN"/>
              </w:rPr>
              <w:t>括①培训内容②培训时间③培训人员安排</w:t>
            </w:r>
            <w:r>
              <w:rPr>
                <w:rFonts w:hint="eastAsia" w:ascii="仿宋" w:hAnsi="仿宋" w:eastAsia="仿宋" w:cs="仿宋"/>
                <w:spacing w:val="2"/>
                <w:sz w:val="32"/>
                <w:szCs w:val="32"/>
              </w:rPr>
              <w:t>等进行综合评分，</w:t>
            </w:r>
            <w:r>
              <w:rPr>
                <w:rFonts w:hint="eastAsia" w:ascii="仿宋" w:hAnsi="仿宋" w:eastAsia="仿宋" w:cs="仿宋"/>
                <w:spacing w:val="2"/>
                <w:sz w:val="32"/>
                <w:szCs w:val="32"/>
                <w:lang w:val="zh-CN"/>
              </w:rPr>
              <w:t>以上内容符合实际情况、内容完善、完全响应采购要求得</w:t>
            </w:r>
            <w:r>
              <w:rPr>
                <w:rFonts w:hint="eastAsia" w:ascii="仿宋" w:hAnsi="仿宋" w:eastAsia="仿宋" w:cs="仿宋"/>
                <w:spacing w:val="2"/>
                <w:sz w:val="32"/>
                <w:szCs w:val="32"/>
              </w:rPr>
              <w:t>6</w:t>
            </w:r>
            <w:r>
              <w:rPr>
                <w:rFonts w:hint="eastAsia" w:ascii="仿宋" w:hAnsi="仿宋" w:eastAsia="仿宋" w:cs="仿宋"/>
                <w:spacing w:val="2"/>
                <w:sz w:val="32"/>
                <w:szCs w:val="32"/>
                <w:lang w:val="zh-CN"/>
              </w:rPr>
              <w:t>分，每缺漏一项扣</w:t>
            </w:r>
            <w:r>
              <w:rPr>
                <w:rFonts w:hint="eastAsia" w:ascii="仿宋" w:hAnsi="仿宋" w:eastAsia="仿宋" w:cs="仿宋"/>
                <w:spacing w:val="2"/>
                <w:sz w:val="32"/>
                <w:szCs w:val="32"/>
              </w:rPr>
              <w:t>2</w:t>
            </w:r>
            <w:r>
              <w:rPr>
                <w:rFonts w:hint="eastAsia" w:ascii="仿宋" w:hAnsi="仿宋" w:eastAsia="仿宋" w:cs="仿宋"/>
                <w:spacing w:val="2"/>
                <w:sz w:val="32"/>
                <w:szCs w:val="32"/>
                <w:lang w:val="zh-CN"/>
              </w:rPr>
              <w:t>分，每有一处内容缺陷</w:t>
            </w:r>
            <w:r>
              <w:rPr>
                <w:rFonts w:hint="eastAsia" w:ascii="仿宋" w:hAnsi="仿宋" w:eastAsia="仿宋" w:cs="仿宋"/>
                <w:spacing w:val="2"/>
                <w:sz w:val="32"/>
                <w:szCs w:val="32"/>
              </w:rPr>
              <w:t>（缺陷是指：存在不适用项目实际情况的情形、凭空编造、内容前后不一致、前后逻辑错误、涉及的规范及标准错误、地点区域错误、内容缺失、</w:t>
            </w:r>
            <w:r>
              <w:rPr>
                <w:rFonts w:hint="eastAsia" w:ascii="仿宋" w:hAnsi="仿宋" w:eastAsia="仿宋" w:cs="仿宋"/>
                <w:spacing w:val="2"/>
                <w:sz w:val="32"/>
                <w:szCs w:val="32"/>
                <w:lang w:val="zh-CN"/>
              </w:rPr>
              <w:t>与项目实施特点不匹配</w:t>
            </w:r>
            <w:r>
              <w:rPr>
                <w:rFonts w:hint="eastAsia" w:ascii="仿宋" w:hAnsi="仿宋" w:eastAsia="仿宋" w:cs="仿宋"/>
                <w:spacing w:val="2"/>
                <w:sz w:val="32"/>
                <w:szCs w:val="32"/>
              </w:rPr>
              <w:t>等）</w:t>
            </w:r>
            <w:r>
              <w:rPr>
                <w:rFonts w:hint="eastAsia" w:ascii="仿宋" w:hAnsi="仿宋" w:eastAsia="仿宋" w:cs="仿宋"/>
                <w:spacing w:val="2"/>
                <w:sz w:val="32"/>
                <w:szCs w:val="32"/>
                <w:lang w:val="zh-CN"/>
              </w:rPr>
              <w:t>扣</w:t>
            </w:r>
            <w:r>
              <w:rPr>
                <w:rFonts w:hint="eastAsia" w:ascii="仿宋" w:hAnsi="仿宋" w:eastAsia="仿宋" w:cs="仿宋"/>
                <w:spacing w:val="2"/>
                <w:sz w:val="32"/>
                <w:szCs w:val="32"/>
              </w:rPr>
              <w:t>1</w:t>
            </w:r>
            <w:r>
              <w:rPr>
                <w:rFonts w:hint="eastAsia" w:ascii="仿宋" w:hAnsi="仿宋" w:eastAsia="仿宋" w:cs="仿宋"/>
                <w:spacing w:val="2"/>
                <w:sz w:val="32"/>
                <w:szCs w:val="32"/>
                <w:lang w:val="zh-CN"/>
              </w:rPr>
              <w:t>分，扣完为止。</w:t>
            </w:r>
          </w:p>
          <w:p w14:paraId="22B17847">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3、根据投标人针对本项目提供的售后服务方案，包括但不限于：①售后服务质量保证措施；②后续服务计划及保障措施；③后期服务人员保障及措施；④技术支持能力；⑤故障响应、处理流程及应急响应机制等进行综合评分，</w:t>
            </w:r>
            <w:r>
              <w:rPr>
                <w:rFonts w:hint="eastAsia" w:ascii="仿宋" w:hAnsi="仿宋" w:eastAsia="仿宋" w:cs="仿宋"/>
                <w:spacing w:val="2"/>
                <w:sz w:val="32"/>
                <w:szCs w:val="32"/>
                <w:lang w:val="zh-CN"/>
              </w:rPr>
              <w:t>以上内容符合实际情况、内容完善、完全响应采购要求得</w:t>
            </w:r>
            <w:r>
              <w:rPr>
                <w:rFonts w:hint="eastAsia" w:ascii="仿宋" w:hAnsi="仿宋" w:eastAsia="仿宋" w:cs="仿宋"/>
                <w:spacing w:val="2"/>
                <w:sz w:val="32"/>
                <w:szCs w:val="32"/>
              </w:rPr>
              <w:t>10</w:t>
            </w:r>
            <w:r>
              <w:rPr>
                <w:rFonts w:hint="eastAsia" w:ascii="仿宋" w:hAnsi="仿宋" w:eastAsia="仿宋" w:cs="仿宋"/>
                <w:spacing w:val="2"/>
                <w:sz w:val="32"/>
                <w:szCs w:val="32"/>
                <w:lang w:val="zh-CN"/>
              </w:rPr>
              <w:t>分，每缺漏一项扣</w:t>
            </w:r>
            <w:r>
              <w:rPr>
                <w:rFonts w:hint="eastAsia" w:ascii="仿宋" w:hAnsi="仿宋" w:eastAsia="仿宋" w:cs="仿宋"/>
                <w:spacing w:val="2"/>
                <w:sz w:val="32"/>
                <w:szCs w:val="32"/>
              </w:rPr>
              <w:t>2</w:t>
            </w:r>
            <w:r>
              <w:rPr>
                <w:rFonts w:hint="eastAsia" w:ascii="仿宋" w:hAnsi="仿宋" w:eastAsia="仿宋" w:cs="仿宋"/>
                <w:spacing w:val="2"/>
                <w:sz w:val="32"/>
                <w:szCs w:val="32"/>
                <w:lang w:val="zh-CN"/>
              </w:rPr>
              <w:t>分，每有一处内容缺陷</w:t>
            </w:r>
            <w:r>
              <w:rPr>
                <w:rFonts w:hint="eastAsia" w:ascii="仿宋" w:hAnsi="仿宋" w:eastAsia="仿宋" w:cs="仿宋"/>
                <w:spacing w:val="2"/>
                <w:sz w:val="32"/>
                <w:szCs w:val="32"/>
              </w:rPr>
              <w:t>（缺陷是指：存在不适用项目实际情况的情形、凭空编造、内容前后不一致、前后逻辑错误、涉及的规范及标准错误、地点区域错误、内容缺失、</w:t>
            </w:r>
            <w:r>
              <w:rPr>
                <w:rFonts w:hint="eastAsia" w:ascii="仿宋" w:hAnsi="仿宋" w:eastAsia="仿宋" w:cs="仿宋"/>
                <w:spacing w:val="2"/>
                <w:sz w:val="32"/>
                <w:szCs w:val="32"/>
                <w:lang w:val="zh-CN"/>
              </w:rPr>
              <w:t>与项目实施特点不匹配</w:t>
            </w:r>
            <w:r>
              <w:rPr>
                <w:rFonts w:hint="eastAsia" w:ascii="仿宋" w:hAnsi="仿宋" w:eastAsia="仿宋" w:cs="仿宋"/>
                <w:spacing w:val="2"/>
                <w:sz w:val="32"/>
                <w:szCs w:val="32"/>
              </w:rPr>
              <w:t>等）</w:t>
            </w:r>
            <w:r>
              <w:rPr>
                <w:rFonts w:hint="eastAsia" w:ascii="仿宋" w:hAnsi="仿宋" w:eastAsia="仿宋" w:cs="仿宋"/>
                <w:spacing w:val="2"/>
                <w:sz w:val="32"/>
                <w:szCs w:val="32"/>
                <w:lang w:val="zh-CN"/>
              </w:rPr>
              <w:t>扣</w:t>
            </w:r>
            <w:r>
              <w:rPr>
                <w:rFonts w:hint="eastAsia" w:ascii="仿宋" w:hAnsi="仿宋" w:eastAsia="仿宋" w:cs="仿宋"/>
                <w:spacing w:val="2"/>
                <w:sz w:val="32"/>
                <w:szCs w:val="32"/>
              </w:rPr>
              <w:t>1</w:t>
            </w:r>
            <w:r>
              <w:rPr>
                <w:rFonts w:hint="eastAsia" w:ascii="仿宋" w:hAnsi="仿宋" w:eastAsia="仿宋" w:cs="仿宋"/>
                <w:spacing w:val="2"/>
                <w:sz w:val="32"/>
                <w:szCs w:val="32"/>
                <w:lang w:val="zh-CN"/>
              </w:rPr>
              <w:t>分，扣完为止</w:t>
            </w:r>
            <w:r>
              <w:rPr>
                <w:rFonts w:hint="eastAsia" w:ascii="仿宋" w:hAnsi="仿宋" w:eastAsia="仿宋" w:cs="仿宋"/>
                <w:spacing w:val="2"/>
                <w:sz w:val="32"/>
                <w:szCs w:val="32"/>
              </w:rPr>
              <w:t>。</w:t>
            </w:r>
          </w:p>
        </w:tc>
        <w:tc>
          <w:tcPr>
            <w:tcW w:w="655" w:type="pct"/>
            <w:vAlign w:val="center"/>
          </w:tcPr>
          <w:p w14:paraId="3D241E6E">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技术类评分因素</w:t>
            </w:r>
          </w:p>
        </w:tc>
      </w:tr>
      <w:tr w14:paraId="3370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77" w:type="pct"/>
            <w:vAlign w:val="center"/>
          </w:tcPr>
          <w:p w14:paraId="013475C8">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4</w:t>
            </w:r>
          </w:p>
        </w:tc>
        <w:tc>
          <w:tcPr>
            <w:tcW w:w="718" w:type="pct"/>
            <w:vAlign w:val="center"/>
          </w:tcPr>
          <w:p w14:paraId="21AA6559">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履约能力</w:t>
            </w:r>
            <w:r>
              <w:rPr>
                <w:rFonts w:ascii="仿宋" w:hAnsi="仿宋" w:eastAsia="仿宋" w:cs="仿宋"/>
                <w:spacing w:val="2"/>
                <w:sz w:val="32"/>
                <w:szCs w:val="32"/>
              </w:rPr>
              <w:t>3%</w:t>
            </w:r>
          </w:p>
        </w:tc>
        <w:tc>
          <w:tcPr>
            <w:tcW w:w="492" w:type="pct"/>
            <w:vAlign w:val="center"/>
          </w:tcPr>
          <w:p w14:paraId="187DED38">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3分</w:t>
            </w:r>
          </w:p>
        </w:tc>
        <w:tc>
          <w:tcPr>
            <w:tcW w:w="2656" w:type="pct"/>
            <w:vAlign w:val="center"/>
          </w:tcPr>
          <w:p w14:paraId="7C4BFE00">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投标人提供2021年至今承担的类似项目业绩，每提供一个得1分，最高得3分。</w:t>
            </w:r>
          </w:p>
          <w:p w14:paraId="27B9AF16">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注：提供合同复印件加盖公章。</w:t>
            </w:r>
          </w:p>
        </w:tc>
        <w:tc>
          <w:tcPr>
            <w:tcW w:w="655" w:type="pct"/>
            <w:vAlign w:val="center"/>
          </w:tcPr>
          <w:p w14:paraId="62A6F879">
            <w:pPr>
              <w:snapToGrid w:val="0"/>
              <w:contextualSpacing/>
              <w:rPr>
                <w:rFonts w:hint="eastAsia" w:ascii="仿宋" w:hAnsi="仿宋" w:eastAsia="仿宋" w:cs="仿宋"/>
                <w:spacing w:val="2"/>
                <w:sz w:val="32"/>
                <w:szCs w:val="32"/>
              </w:rPr>
            </w:pPr>
            <w:r>
              <w:rPr>
                <w:rFonts w:hint="eastAsia" w:ascii="仿宋" w:hAnsi="仿宋" w:eastAsia="仿宋" w:cs="仿宋"/>
                <w:spacing w:val="2"/>
                <w:sz w:val="32"/>
                <w:szCs w:val="32"/>
              </w:rPr>
              <w:t>共同评分因素</w:t>
            </w:r>
          </w:p>
        </w:tc>
      </w:tr>
    </w:tbl>
    <w:p w14:paraId="4E1C9D55">
      <w:pPr>
        <w:rPr>
          <w:rFonts w:hint="eastAsia" w:ascii="黑体" w:hAnsi="黑体" w:eastAsia="黑体" w:cs="黑体"/>
        </w:rPr>
      </w:pPr>
    </w:p>
    <w:sectPr>
      <w:headerReference r:id="rId4" w:type="first"/>
      <w:footerReference r:id="rId6" w:type="first"/>
      <w:headerReference r:id="rId3" w:type="default"/>
      <w:footerReference r:id="rId5" w:type="default"/>
      <w:pgSz w:w="11906" w:h="16838"/>
      <w:pgMar w:top="1134" w:right="1134" w:bottom="1077" w:left="1361" w:header="680" w:footer="68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7E8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A67E6">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AA67E6">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532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CC8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44CCC8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DE4A">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409D">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035ACD"/>
    <w:rsid w:val="00082214"/>
    <w:rsid w:val="0009690B"/>
    <w:rsid w:val="000D5762"/>
    <w:rsid w:val="001372A2"/>
    <w:rsid w:val="00156963"/>
    <w:rsid w:val="00175C23"/>
    <w:rsid w:val="001B7217"/>
    <w:rsid w:val="002160BE"/>
    <w:rsid w:val="00241E38"/>
    <w:rsid w:val="00243CD2"/>
    <w:rsid w:val="00263108"/>
    <w:rsid w:val="0026508E"/>
    <w:rsid w:val="00292EA0"/>
    <w:rsid w:val="002A02E3"/>
    <w:rsid w:val="002A39BC"/>
    <w:rsid w:val="002A48A2"/>
    <w:rsid w:val="002C6478"/>
    <w:rsid w:val="002E2E65"/>
    <w:rsid w:val="002F07D8"/>
    <w:rsid w:val="003027E1"/>
    <w:rsid w:val="00327CDC"/>
    <w:rsid w:val="003A7F29"/>
    <w:rsid w:val="003E41E7"/>
    <w:rsid w:val="0041521A"/>
    <w:rsid w:val="004D641F"/>
    <w:rsid w:val="005766F5"/>
    <w:rsid w:val="005C6A29"/>
    <w:rsid w:val="005D5AD4"/>
    <w:rsid w:val="00607080"/>
    <w:rsid w:val="00615C58"/>
    <w:rsid w:val="006545F5"/>
    <w:rsid w:val="00656225"/>
    <w:rsid w:val="006877C2"/>
    <w:rsid w:val="006A41B6"/>
    <w:rsid w:val="006D203A"/>
    <w:rsid w:val="00706536"/>
    <w:rsid w:val="00716039"/>
    <w:rsid w:val="007178F2"/>
    <w:rsid w:val="007246D6"/>
    <w:rsid w:val="00733192"/>
    <w:rsid w:val="007936C1"/>
    <w:rsid w:val="007D0729"/>
    <w:rsid w:val="007D7040"/>
    <w:rsid w:val="007E4A1F"/>
    <w:rsid w:val="007F2652"/>
    <w:rsid w:val="008303A5"/>
    <w:rsid w:val="00880476"/>
    <w:rsid w:val="008D7AD9"/>
    <w:rsid w:val="0090267D"/>
    <w:rsid w:val="00920706"/>
    <w:rsid w:val="009573A1"/>
    <w:rsid w:val="0096481A"/>
    <w:rsid w:val="009813FB"/>
    <w:rsid w:val="009F3315"/>
    <w:rsid w:val="009F6EE5"/>
    <w:rsid w:val="00A02782"/>
    <w:rsid w:val="00A3111C"/>
    <w:rsid w:val="00A40622"/>
    <w:rsid w:val="00A7124B"/>
    <w:rsid w:val="00A757F0"/>
    <w:rsid w:val="00A92705"/>
    <w:rsid w:val="00AE1DBD"/>
    <w:rsid w:val="00AE2A9B"/>
    <w:rsid w:val="00AE3048"/>
    <w:rsid w:val="00B72243"/>
    <w:rsid w:val="00B753A6"/>
    <w:rsid w:val="00BA1A8B"/>
    <w:rsid w:val="00BC7BA0"/>
    <w:rsid w:val="00C51FBB"/>
    <w:rsid w:val="00C7060E"/>
    <w:rsid w:val="00C76EC2"/>
    <w:rsid w:val="00C850A8"/>
    <w:rsid w:val="00CC1319"/>
    <w:rsid w:val="00CC4D1B"/>
    <w:rsid w:val="00D065ED"/>
    <w:rsid w:val="00D55EB1"/>
    <w:rsid w:val="00D761F0"/>
    <w:rsid w:val="00D81739"/>
    <w:rsid w:val="00DA07EA"/>
    <w:rsid w:val="00DB6F4A"/>
    <w:rsid w:val="00E2670E"/>
    <w:rsid w:val="00E32773"/>
    <w:rsid w:val="00E37E38"/>
    <w:rsid w:val="00F57292"/>
    <w:rsid w:val="00FA0971"/>
    <w:rsid w:val="00FE1018"/>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3408E6"/>
    <w:rsid w:val="099C0C65"/>
    <w:rsid w:val="09CF2980"/>
    <w:rsid w:val="0A5766D2"/>
    <w:rsid w:val="0B481B96"/>
    <w:rsid w:val="0B5B6EA7"/>
    <w:rsid w:val="0B9B184D"/>
    <w:rsid w:val="0BBF2600"/>
    <w:rsid w:val="0BF5519C"/>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502F73"/>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483ACF"/>
    <w:rsid w:val="219C0935"/>
    <w:rsid w:val="219C0C5F"/>
    <w:rsid w:val="21AF5350"/>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C64BD"/>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2E114B8"/>
    <w:rsid w:val="3367096B"/>
    <w:rsid w:val="34015BA1"/>
    <w:rsid w:val="34104944"/>
    <w:rsid w:val="34607C42"/>
    <w:rsid w:val="34AD3121"/>
    <w:rsid w:val="35850C85"/>
    <w:rsid w:val="358537EA"/>
    <w:rsid w:val="36206E51"/>
    <w:rsid w:val="3645059F"/>
    <w:rsid w:val="36FA0C0E"/>
    <w:rsid w:val="37564C34"/>
    <w:rsid w:val="37AF0C3F"/>
    <w:rsid w:val="38066F3C"/>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901EC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432205"/>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83422D"/>
    <w:rsid w:val="66BB543F"/>
    <w:rsid w:val="66C04922"/>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323E04"/>
    <w:rsid w:val="6D535020"/>
    <w:rsid w:val="6DCF5925"/>
    <w:rsid w:val="6E383ABA"/>
    <w:rsid w:val="6E8B493F"/>
    <w:rsid w:val="6EA3545A"/>
    <w:rsid w:val="6F9F7F7D"/>
    <w:rsid w:val="70AE6FF2"/>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qFormat/>
    <w:uiPriority w:val="9"/>
    <w:pPr>
      <w:keepNext/>
      <w:keepLines/>
      <w:spacing w:before="260" w:after="260"/>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First Indent"/>
    <w:basedOn w:val="1"/>
    <w:next w:val="1"/>
    <w:qFormat/>
    <w:uiPriority w:val="0"/>
    <w:pPr>
      <w:ind w:firstLine="420" w:firstLineChars="100"/>
    </w:pPr>
    <w:rPr>
      <w:rFonts w:ascii="Times New Roman" w:hAnsi="Times New Roman" w:eastAsia="宋体" w:cs="Times New Roman"/>
    </w:rPr>
  </w:style>
  <w:style w:type="paragraph" w:styleId="6">
    <w:name w:val="Body Text"/>
    <w:basedOn w:val="1"/>
    <w:next w:val="7"/>
    <w:qFormat/>
    <w:uiPriority w:val="0"/>
    <w:pPr>
      <w:spacing w:after="12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字符"/>
    <w:link w:val="3"/>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Cs w:val="22"/>
    </w:rPr>
  </w:style>
  <w:style w:type="paragraph" w:customStyle="1" w:styleId="27">
    <w:name w:val="文章正文"/>
    <w:basedOn w:val="1"/>
    <w:qFormat/>
    <w:uiPriority w:val="0"/>
    <w:pPr>
      <w:spacing w:line="360" w:lineRule="auto"/>
      <w:ind w:firstLine="420"/>
    </w:pPr>
    <w:rPr>
      <w:rFonts w:ascii="Calibri" w:hAnsi="Calibri"/>
      <w:sz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4"/>
      <w:szCs w:val="1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17</Pages>
  <Words>7854</Words>
  <Characters>8542</Characters>
  <Lines>69</Lines>
  <Paragraphs>19</Paragraphs>
  <TotalTime>253</TotalTime>
  <ScaleCrop>false</ScaleCrop>
  <LinksUpToDate>false</LinksUpToDate>
  <CharactersWithSpaces>8772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刘智波</cp:lastModifiedBy>
  <cp:lastPrinted>2019-09-23T08:20:00Z</cp:lastPrinted>
  <dcterms:modified xsi:type="dcterms:W3CDTF">2025-12-03T08:16:28Z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6606E0912A984269970235911755D175_13</vt:lpwstr>
  </property>
  <property fmtid="{D5CDD505-2E9C-101B-9397-08002B2CF9AE}" pid="4" name="KSOTemplateDocerSaveRecord">
    <vt:lpwstr>eyJoZGlkIjoiNzIwMjZiNTNlMTJkYzFiOWI2MjNhNTMwMGZiODg2N2YiLCJ1c2VySWQiOiIxNzE4NDExNTY3In0=</vt:lpwstr>
  </property>
</Properties>
</file>