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720" w:firstLineChars="200"/>
        <w:jc w:val="center"/>
        <w:textAlignment w:val="auto"/>
        <w:rPr>
          <w:rFonts w:hint="eastAsia" w:ascii="黑体" w:hAnsi="黑体" w:eastAsia="黑体" w:cs="黑体"/>
          <w:color w:val="auto"/>
          <w:sz w:val="36"/>
          <w:szCs w:val="36"/>
          <w:highlight w:val="none"/>
          <w:lang w:eastAsia="zh-CN"/>
        </w:rPr>
      </w:pPr>
      <w:r>
        <w:rPr>
          <w:rFonts w:hint="eastAsia" w:ascii="黑体" w:hAnsi="黑体" w:eastAsia="黑体" w:cs="黑体"/>
          <w:color w:val="auto"/>
          <w:sz w:val="36"/>
          <w:szCs w:val="36"/>
          <w:highlight w:val="none"/>
          <w:lang w:eastAsia="zh-CN"/>
        </w:rPr>
        <w:t>第一章</w:t>
      </w:r>
      <w:r>
        <w:rPr>
          <w:rFonts w:hint="eastAsia" w:ascii="黑体" w:hAnsi="黑体" w:eastAsia="黑体" w:cs="黑体"/>
          <w:color w:val="auto"/>
          <w:sz w:val="36"/>
          <w:szCs w:val="36"/>
          <w:highlight w:val="none"/>
          <w:lang w:val="en-US" w:eastAsia="zh-CN"/>
        </w:rPr>
        <w:t xml:space="preserve">  乐山市五通桥区人民医院新院区搬迁主题形象宣传片摄制服务</w:t>
      </w:r>
      <w:r>
        <w:rPr>
          <w:rFonts w:hint="eastAsia" w:ascii="黑体" w:hAnsi="黑体" w:eastAsia="黑体" w:cs="黑体"/>
          <w:color w:val="auto"/>
          <w:sz w:val="36"/>
          <w:szCs w:val="36"/>
          <w:highlight w:val="none"/>
          <w:lang w:eastAsia="zh-CN"/>
        </w:rPr>
        <w:t>院内采购公告</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kern w:val="0"/>
          <w:sz w:val="28"/>
          <w:szCs w:val="28"/>
          <w:highlight w:val="none"/>
          <w:lang w:eastAsia="zh-CN"/>
        </w:rPr>
      </w:pP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32"/>
          <w:szCs w:val="32"/>
          <w:highlight w:val="none"/>
          <w:lang w:val="en-US" w:eastAsia="zh-CN"/>
        </w:rPr>
        <w:t>采购项目名称：新院区搬迁主题形象宣传片摄制服务</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1280" w:firstLineChars="400"/>
        <w:jc w:val="left"/>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eastAsia="zh-CN"/>
        </w:rPr>
        <w:t>项目采购编号：</w:t>
      </w:r>
      <w:r>
        <w:rPr>
          <w:rFonts w:hint="eastAsia" w:ascii="仿宋" w:hAnsi="仿宋" w:eastAsia="仿宋" w:cs="仿宋"/>
          <w:color w:val="auto"/>
          <w:kern w:val="0"/>
          <w:sz w:val="32"/>
          <w:szCs w:val="32"/>
          <w:highlight w:val="none"/>
          <w:lang w:val="en-US" w:eastAsia="zh-CN"/>
        </w:rPr>
        <w:t>YLJT2026006</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1280" w:firstLineChars="4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0"/>
          <w:sz w:val="32"/>
          <w:szCs w:val="32"/>
          <w:highlight w:val="none"/>
          <w:lang w:val="en-US" w:eastAsia="zh-CN"/>
        </w:rPr>
        <w:t xml:space="preserve">项目采购限价：6万元   </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1280" w:firstLineChars="4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采购项目内容（详细要求请看附件）：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二、参加采购的供应商数量：三家及以上；在乐山市五通桥区人民医院官方网站上发布公告（https://www.wtqqrmyy.cn/）；本项目若有补遗或更正公告会在官网上发布，请参加采购的供应商随时关注；若因以上原因造成的损失由供应商自行负责。</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val="en-US" w:eastAsia="zh-CN"/>
        </w:rPr>
        <w:t>三</w:t>
      </w:r>
      <w:r>
        <w:rPr>
          <w:rFonts w:hint="eastAsia" w:ascii="仿宋" w:hAnsi="仿宋" w:eastAsia="仿宋" w:cs="仿宋"/>
          <w:color w:val="auto"/>
          <w:kern w:val="0"/>
          <w:sz w:val="32"/>
          <w:szCs w:val="32"/>
          <w:highlight w:val="none"/>
          <w:lang w:eastAsia="zh-CN"/>
        </w:rPr>
        <w:t>、供应商参加本次采购活动</w:t>
      </w:r>
      <w:r>
        <w:rPr>
          <w:rFonts w:hint="eastAsia" w:ascii="仿宋" w:hAnsi="仿宋" w:eastAsia="仿宋" w:cs="仿宋"/>
          <w:color w:val="auto"/>
          <w:kern w:val="0"/>
          <w:sz w:val="32"/>
          <w:szCs w:val="32"/>
          <w:highlight w:val="none"/>
          <w:lang w:val="en-US" w:eastAsia="zh-CN"/>
        </w:rPr>
        <w:t>需要</w:t>
      </w:r>
      <w:r>
        <w:rPr>
          <w:rFonts w:hint="eastAsia" w:ascii="仿宋" w:hAnsi="仿宋" w:eastAsia="仿宋" w:cs="仿宋"/>
          <w:color w:val="auto"/>
          <w:kern w:val="0"/>
          <w:sz w:val="32"/>
          <w:szCs w:val="32"/>
          <w:highlight w:val="none"/>
          <w:lang w:eastAsia="zh-CN"/>
        </w:rPr>
        <w:t>提交的资料：</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潜在响应供应商可直接从本公告的附件中下载相关文件（如对文件有异议，应在本公告的有效时间电话询问或以书面提出合理质疑。公告到期后未收到书面质疑，视为潜在供应商认同文件的全部内容，采购中心不再受理响应供应商对采购公告或相关文件的质疑。</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2.提交资料应按照采购文件中的承诺函、廉洁承诺书、采购资质要求、技术及商务要求提供2套。</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3.报价以及资料，采购响应文件封面请注明项目名称、联系人、联系电话、自行密封并加盖公章。</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4.请满足上述资质要求的供应商于2026年8月6日17:00之前将资料送至乐山市五通桥区人民医院采购中心（行政楼三楼），在截止时间以后送到的响应文件将被拒绝并退还给供应商。</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四、其他要求（参加采购的供应商视为全部接受以下条款）</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1.方案报价在30日内有效，报价包括供应商履约过程中的服务费、人工、差旅、保险、税金与供应商履约所需要的其他所有费用。</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在供应商满足相关资质要求及服务要求的条件下，采购采用综合评分法（一次报价），中标结果由医院网站公示，中标公司请在公示后30日内到采购办签订合同，超过公示后30日不响应签订合同的视为放弃中标资格，放弃中标资格或因不可抗力提出不能履行合同的，将按照排名先后顺序依次替补或重新招采。</w:t>
      </w:r>
    </w:p>
    <w:p>
      <w:pPr>
        <w:pStyle w:val="5"/>
        <w:spacing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0"/>
          <w:sz w:val="32"/>
          <w:szCs w:val="32"/>
          <w:highlight w:val="none"/>
          <w:lang w:val="en-US" w:eastAsia="zh-CN"/>
        </w:rPr>
        <w:t xml:space="preserve">  3.本项目不接受联合体，不允许分包。</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rPr>
        <w:t>联系人:</w:t>
      </w:r>
      <w:r>
        <w:rPr>
          <w:rFonts w:hint="eastAsia" w:ascii="仿宋" w:hAnsi="仿宋" w:eastAsia="仿宋" w:cs="仿宋"/>
          <w:color w:val="auto"/>
          <w:kern w:val="0"/>
          <w:sz w:val="32"/>
          <w:szCs w:val="32"/>
          <w:highlight w:val="none"/>
          <w:lang w:val="en-US" w:eastAsia="zh-CN"/>
        </w:rPr>
        <w:t>李老师</w:t>
      </w:r>
      <w:r>
        <w:rPr>
          <w:rFonts w:hint="eastAsia" w:ascii="仿宋" w:hAnsi="仿宋" w:eastAsia="仿宋" w:cs="仿宋"/>
          <w:color w:val="auto"/>
          <w:kern w:val="0"/>
          <w:sz w:val="32"/>
          <w:szCs w:val="32"/>
          <w:highlight w:val="none"/>
        </w:rPr>
        <w:t xml:space="preserve"> </w:t>
      </w:r>
      <w:r>
        <w:rPr>
          <w:rFonts w:hint="eastAsia" w:ascii="仿宋" w:hAnsi="仿宋" w:eastAsia="仿宋" w:cs="仿宋"/>
          <w:color w:val="auto"/>
          <w:kern w:val="0"/>
          <w:sz w:val="32"/>
          <w:szCs w:val="32"/>
          <w:highlight w:val="none"/>
          <w:lang w:val="en-US" w:eastAsia="zh-CN"/>
        </w:rPr>
        <w:t xml:space="preserve">      </w:t>
      </w:r>
      <w:r>
        <w:rPr>
          <w:rFonts w:hint="eastAsia" w:ascii="仿宋" w:hAnsi="仿宋" w:eastAsia="仿宋" w:cs="仿宋"/>
          <w:color w:val="auto"/>
          <w:kern w:val="0"/>
          <w:sz w:val="32"/>
          <w:szCs w:val="32"/>
          <w:highlight w:val="none"/>
        </w:rPr>
        <w:t>联系电话:</w:t>
      </w:r>
      <w:r>
        <w:rPr>
          <w:rFonts w:hint="eastAsia" w:ascii="仿宋" w:hAnsi="仿宋" w:eastAsia="仿宋" w:cs="仿宋"/>
          <w:color w:val="auto"/>
          <w:kern w:val="0"/>
          <w:sz w:val="32"/>
          <w:szCs w:val="32"/>
          <w:highlight w:val="none"/>
          <w:lang w:val="en-US" w:eastAsia="zh-CN"/>
        </w:rPr>
        <w:t>0833-3189923</w:t>
      </w:r>
    </w:p>
    <w:p>
      <w:pPr>
        <w:jc w:val="center"/>
        <w:rPr>
          <w:rFonts w:hint="default" w:ascii="黑体" w:hAnsi="黑体" w:eastAsia="黑体" w:cs="黑体"/>
          <w:b/>
          <w:bCs/>
          <w:color w:val="auto"/>
          <w:sz w:val="72"/>
          <w:szCs w:val="72"/>
          <w:highlight w:val="none"/>
          <w:lang w:val="en-US" w:eastAsia="zh-CN"/>
        </w:rPr>
      </w:pPr>
      <w:r>
        <w:rPr>
          <w:rFonts w:hint="eastAsia" w:ascii="仿宋" w:hAnsi="仿宋" w:eastAsia="仿宋" w:cs="仿宋"/>
          <w:color w:val="auto"/>
          <w:kern w:val="0"/>
          <w:sz w:val="32"/>
          <w:szCs w:val="32"/>
          <w:highlight w:val="none"/>
          <w:lang w:val="en-US" w:eastAsia="zh-CN"/>
        </w:rPr>
        <w:t xml:space="preserve">                     </w:t>
      </w:r>
    </w:p>
    <w:p>
      <w:pPr>
        <w:pStyle w:val="6"/>
        <w:jc w:val="center"/>
        <w:rPr>
          <w:rFonts w:hint="eastAsia"/>
          <w:color w:val="auto"/>
          <w:highlight w:val="none"/>
          <w:lang w:eastAsia="zh-CN"/>
        </w:rPr>
      </w:pPr>
      <w:r>
        <w:rPr>
          <w:rFonts w:hint="eastAsia" w:ascii="黑体" w:hAnsi="黑体" w:eastAsia="黑体" w:cs="黑体"/>
          <w:b/>
          <w:color w:val="auto"/>
          <w:sz w:val="36"/>
          <w:szCs w:val="36"/>
          <w:highlight w:val="none"/>
          <w:lang w:eastAsia="zh-CN"/>
        </w:rPr>
        <w:t>第二章</w:t>
      </w:r>
      <w:r>
        <w:rPr>
          <w:rFonts w:hint="eastAsia" w:ascii="黑体" w:hAnsi="黑体" w:eastAsia="黑体" w:cs="黑体"/>
          <w:b/>
          <w:color w:val="auto"/>
          <w:sz w:val="36"/>
          <w:szCs w:val="36"/>
          <w:highlight w:val="none"/>
          <w:lang w:val="en-US" w:eastAsia="zh-CN"/>
        </w:rPr>
        <w:t xml:space="preserve">  </w:t>
      </w:r>
      <w:r>
        <w:rPr>
          <w:rFonts w:hint="eastAsia" w:ascii="黑体" w:hAnsi="黑体" w:eastAsia="黑体" w:cs="黑体"/>
          <w:b/>
          <w:color w:val="auto"/>
          <w:sz w:val="36"/>
          <w:szCs w:val="36"/>
          <w:highlight w:val="none"/>
          <w:lang w:eastAsia="zh-CN"/>
        </w:rPr>
        <w:t>采购须知</w:t>
      </w:r>
    </w:p>
    <w:p>
      <w:pPr>
        <w:pStyle w:val="31"/>
        <w:spacing w:line="240" w:lineRule="auto"/>
        <w:rPr>
          <w:rFonts w:hint="eastAsia"/>
          <w:color w:val="auto"/>
          <w:highlight w:val="none"/>
          <w:lang w:eastAsia="zh-CN"/>
        </w:rPr>
      </w:pPr>
    </w:p>
    <w:p>
      <w:pPr>
        <w:spacing w:line="240" w:lineRule="auto"/>
        <w:ind w:firstLine="643" w:firstLineChars="20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lang w:eastAsia="zh-CN"/>
        </w:rPr>
        <w:t>一、院内采购总则</w:t>
      </w:r>
    </w:p>
    <w:p>
      <w:pPr>
        <w:spacing w:line="24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本</w:t>
      </w:r>
      <w:r>
        <w:rPr>
          <w:rFonts w:hint="eastAsia" w:ascii="仿宋" w:hAnsi="仿宋" w:eastAsia="仿宋" w:cs="仿宋"/>
          <w:color w:val="auto"/>
          <w:sz w:val="32"/>
          <w:szCs w:val="32"/>
          <w:highlight w:val="none"/>
          <w:lang w:val="en-US" w:eastAsia="zh-CN"/>
        </w:rPr>
        <w:t>采购</w:t>
      </w:r>
      <w:r>
        <w:rPr>
          <w:rFonts w:hint="eastAsia" w:ascii="仿宋" w:hAnsi="仿宋" w:eastAsia="仿宋" w:cs="仿宋"/>
          <w:color w:val="auto"/>
          <w:sz w:val="32"/>
          <w:szCs w:val="32"/>
          <w:highlight w:val="none"/>
        </w:rPr>
        <w:t>项目参照《中华人民共和国政府采购法》《四川省政府采购非招标采购方式实施办法》等有关法律、法规和规章，通过</w:t>
      </w:r>
      <w:r>
        <w:rPr>
          <w:rFonts w:hint="eastAsia" w:ascii="仿宋" w:hAnsi="仿宋" w:eastAsia="仿宋" w:cs="仿宋"/>
          <w:color w:val="auto"/>
          <w:sz w:val="32"/>
          <w:szCs w:val="32"/>
          <w:highlight w:val="none"/>
          <w:lang w:val="en-US" w:eastAsia="zh-CN"/>
        </w:rPr>
        <w:t>综合评分的方式确定成交供应商。</w:t>
      </w:r>
    </w:p>
    <w:p>
      <w:p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本项目</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范围包括价格、质量、服务等方面内容，交货时间在合同中约定。</w:t>
      </w:r>
    </w:p>
    <w:p>
      <w:p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本采购项目最低要求：符合资质条件、技术参数及商务要求且报价不超过最高限价。</w:t>
      </w:r>
    </w:p>
    <w:p>
      <w:pPr>
        <w:numPr>
          <w:ilvl w:val="0"/>
          <w:numId w:val="0"/>
        </w:num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供应商自行承担本项目</w:t>
      </w:r>
      <w:r>
        <w:rPr>
          <w:rFonts w:hint="eastAsia" w:ascii="仿宋" w:hAnsi="仿宋" w:eastAsia="仿宋" w:cs="仿宋"/>
          <w:color w:val="auto"/>
          <w:sz w:val="32"/>
          <w:szCs w:val="32"/>
          <w:highlight w:val="none"/>
          <w:lang w:val="en-US" w:eastAsia="zh-CN"/>
        </w:rPr>
        <w:t>采购</w:t>
      </w:r>
      <w:r>
        <w:rPr>
          <w:rFonts w:hint="eastAsia" w:ascii="仿宋" w:hAnsi="仿宋" w:eastAsia="仿宋" w:cs="仿宋"/>
          <w:color w:val="auto"/>
          <w:sz w:val="32"/>
          <w:szCs w:val="32"/>
          <w:highlight w:val="none"/>
        </w:rPr>
        <w:t>活动所发生</w:t>
      </w:r>
      <w:r>
        <w:rPr>
          <w:rFonts w:hint="eastAsia" w:ascii="仿宋" w:hAnsi="仿宋" w:eastAsia="仿宋" w:cs="仿宋"/>
          <w:color w:val="auto"/>
          <w:sz w:val="32"/>
          <w:szCs w:val="32"/>
          <w:highlight w:val="none"/>
          <w:lang w:eastAsia="zh-CN"/>
        </w:rPr>
        <w:t>现场踏勘、标书制作等</w:t>
      </w:r>
      <w:r>
        <w:rPr>
          <w:rFonts w:hint="eastAsia" w:ascii="仿宋" w:hAnsi="仿宋" w:eastAsia="仿宋" w:cs="仿宋"/>
          <w:color w:val="auto"/>
          <w:sz w:val="32"/>
          <w:szCs w:val="32"/>
          <w:highlight w:val="none"/>
        </w:rPr>
        <w:t>费用。</w:t>
      </w:r>
    </w:p>
    <w:p>
      <w:pPr>
        <w:spacing w:line="240" w:lineRule="auto"/>
        <w:ind w:firstLine="643" w:firstLineChars="20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w:t>
      </w:r>
      <w:r>
        <w:rPr>
          <w:rFonts w:hint="eastAsia" w:ascii="仿宋" w:hAnsi="仿宋" w:eastAsia="仿宋" w:cs="仿宋"/>
          <w:b/>
          <w:bCs/>
          <w:color w:val="auto"/>
          <w:sz w:val="32"/>
          <w:szCs w:val="32"/>
          <w:highlight w:val="none"/>
          <w:lang w:eastAsia="zh-CN"/>
        </w:rPr>
        <w:t>采购</w:t>
      </w:r>
      <w:r>
        <w:rPr>
          <w:rFonts w:hint="eastAsia" w:ascii="仿宋" w:hAnsi="仿宋" w:eastAsia="仿宋" w:cs="仿宋"/>
          <w:b/>
          <w:bCs/>
          <w:color w:val="auto"/>
          <w:sz w:val="32"/>
          <w:szCs w:val="32"/>
          <w:highlight w:val="none"/>
        </w:rPr>
        <w:t>响应文件的编制</w:t>
      </w:r>
    </w:p>
    <w:p>
      <w:p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响应文件的密封：须提供标书一份，密封于一个包装袋内，封口处加盖单位鲜章，封面须注明：“项目名称：        ”，“项目编号：     ”，“于   年  月  日  时  分前不得拆封”等字样。未按询价文件要求密封的响应文件将被拒收。</w:t>
      </w:r>
    </w:p>
    <w:p>
      <w:pPr>
        <w:spacing w:line="240" w:lineRule="auto"/>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w:t>
      </w:r>
      <w:r>
        <w:rPr>
          <w:rFonts w:hint="eastAsia" w:ascii="仿宋" w:hAnsi="仿宋" w:eastAsia="仿宋" w:cs="仿宋"/>
          <w:color w:val="auto"/>
          <w:sz w:val="32"/>
          <w:szCs w:val="32"/>
          <w:highlight w:val="none"/>
          <w:lang w:val="en-US" w:eastAsia="zh-CN"/>
        </w:rPr>
        <w:t>一式贰份，</w:t>
      </w:r>
      <w:r>
        <w:rPr>
          <w:rFonts w:hint="eastAsia" w:ascii="仿宋" w:hAnsi="仿宋" w:eastAsia="仿宋" w:cs="仿宋"/>
          <w:color w:val="auto"/>
          <w:sz w:val="32"/>
          <w:szCs w:val="32"/>
          <w:highlight w:val="none"/>
        </w:rPr>
        <w:t>须用A4幅面纸张打印装订</w:t>
      </w:r>
      <w:r>
        <w:rPr>
          <w:rFonts w:hint="eastAsia" w:ascii="仿宋" w:hAnsi="仿宋" w:eastAsia="仿宋" w:cs="仿宋"/>
          <w:color w:val="auto"/>
          <w:sz w:val="32"/>
          <w:szCs w:val="32"/>
          <w:highlight w:val="none"/>
          <w:lang w:eastAsia="zh-CN"/>
        </w:rPr>
        <w:t>。</w:t>
      </w:r>
    </w:p>
    <w:p>
      <w:pPr>
        <w:spacing w:line="240" w:lineRule="auto"/>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响应文件的打印和书写应清楚工整，签字确认并加盖公章，否则无效。供应商为法人的，应当由其法定代表人或者代理人签字确认。</w:t>
      </w:r>
    </w:p>
    <w:p>
      <w:pPr>
        <w:spacing w:line="240" w:lineRule="auto"/>
        <w:ind w:firstLine="643" w:firstLineChars="20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三</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eastAsia="zh-CN"/>
        </w:rPr>
        <w:t>院内采购</w:t>
      </w:r>
      <w:r>
        <w:rPr>
          <w:rFonts w:hint="eastAsia" w:ascii="仿宋" w:hAnsi="仿宋" w:eastAsia="仿宋" w:cs="仿宋"/>
          <w:b/>
          <w:bCs/>
          <w:color w:val="auto"/>
          <w:sz w:val="32"/>
          <w:szCs w:val="32"/>
          <w:highlight w:val="none"/>
        </w:rPr>
        <w:t>会议的召开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 xml:space="preserve">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color w:val="auto"/>
          <w:sz w:val="32"/>
          <w:szCs w:val="32"/>
          <w:highlight w:val="none"/>
          <w:lang w:eastAsia="zh-CN"/>
        </w:rPr>
        <w:t>院内采购</w:t>
      </w:r>
      <w:r>
        <w:rPr>
          <w:rFonts w:hint="eastAsia" w:ascii="仿宋" w:hAnsi="仿宋" w:eastAsia="仿宋" w:cs="仿宋"/>
          <w:color w:val="auto"/>
          <w:sz w:val="32"/>
          <w:szCs w:val="32"/>
          <w:highlight w:val="none"/>
        </w:rPr>
        <w:t>会议顺序:</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eastAsia="zh-CN"/>
        </w:rPr>
        <w:t>院内采购</w:t>
      </w:r>
      <w:r>
        <w:rPr>
          <w:rFonts w:hint="eastAsia" w:ascii="仿宋" w:hAnsi="仿宋" w:eastAsia="仿宋" w:cs="仿宋"/>
          <w:color w:val="auto"/>
          <w:sz w:val="32"/>
          <w:szCs w:val="32"/>
          <w:highlight w:val="none"/>
        </w:rPr>
        <w:t>由</w:t>
      </w:r>
      <w:r>
        <w:rPr>
          <w:rFonts w:hint="eastAsia" w:ascii="仿宋" w:hAnsi="仿宋" w:eastAsia="仿宋" w:cs="仿宋"/>
          <w:color w:val="auto"/>
          <w:sz w:val="32"/>
          <w:szCs w:val="32"/>
          <w:highlight w:val="none"/>
          <w:lang w:eastAsia="zh-CN"/>
        </w:rPr>
        <w:t>采购办</w:t>
      </w:r>
      <w:r>
        <w:rPr>
          <w:rFonts w:hint="eastAsia" w:ascii="仿宋" w:hAnsi="仿宋" w:eastAsia="仿宋" w:cs="仿宋"/>
          <w:color w:val="auto"/>
          <w:sz w:val="32"/>
          <w:szCs w:val="32"/>
          <w:highlight w:val="none"/>
        </w:rPr>
        <w:t>主持；</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由监督人员检查</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响应文件密封情况；</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将符合密封要求的资格、技术商务、报价</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文件送</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小组评审；</w:t>
      </w:r>
    </w:p>
    <w:p>
      <w:pPr>
        <w:pStyle w:val="9"/>
        <w:spacing w:line="240" w:lineRule="auto"/>
        <w:ind w:left="0" w:leftChars="0" w:firstLine="640" w:firstLineChars="200"/>
        <w:rPr>
          <w:rFonts w:hint="eastAsia" w:ascii="仿宋" w:hAnsi="仿宋" w:eastAsia="仿宋" w:cs="仿宋"/>
          <w:color w:val="auto"/>
          <w:sz w:val="32"/>
          <w:szCs w:val="32"/>
          <w:highlight w:val="none"/>
          <w:shd w:val="clear" w:color="auto" w:fill="auto"/>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结束后，由</w:t>
      </w:r>
      <w:r>
        <w:rPr>
          <w:rFonts w:hint="eastAsia" w:ascii="仿宋" w:hAnsi="仿宋" w:eastAsia="仿宋" w:cs="仿宋"/>
          <w:color w:val="auto"/>
          <w:sz w:val="32"/>
          <w:szCs w:val="32"/>
          <w:highlight w:val="none"/>
          <w:lang w:eastAsia="zh-CN"/>
        </w:rPr>
        <w:t>评审小组根据报价情况</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shd w:val="clear" w:color="auto" w:fill="auto"/>
        </w:rPr>
        <w:t>推荐成交候选供应商。</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四</w:t>
      </w:r>
      <w:r>
        <w:rPr>
          <w:rFonts w:hint="eastAsia" w:ascii="仿宋" w:hAnsi="仿宋" w:eastAsia="仿宋" w:cs="仿宋"/>
          <w:b/>
          <w:bCs/>
          <w:color w:val="auto"/>
          <w:sz w:val="32"/>
          <w:szCs w:val="32"/>
          <w:highlight w:val="none"/>
        </w:rPr>
        <w:t>、质疑提出与答复</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供应商对采购文件中资格、技术、商务要求以及对采购文件编制、采购程序的询问或质疑，可以电话进行询问或以书面形式实名签字盖章在递交院内采购文件截止时间前一日之前向采购办提出，并由采购办进行统一回复。供应商在3个工作日内应一次性提出针对同一采购程序环节的质疑。质疑采取书面形式，质疑函原件采取当面递交采购办。受理日期则以采购办收到质疑函原件之日计算。</w:t>
      </w:r>
      <w:r>
        <w:rPr>
          <w:rFonts w:hint="eastAsia" w:ascii="仿宋" w:hAnsi="仿宋" w:eastAsia="仿宋" w:cs="仿宋"/>
          <w:color w:val="auto"/>
          <w:sz w:val="32"/>
          <w:szCs w:val="32"/>
          <w:highlight w:val="none"/>
          <w:lang w:val="zh-CN" w:eastAsia="zh-CN"/>
        </w:rPr>
        <w:t>受理联系人及联系方式见公告</w:t>
      </w:r>
      <w:r>
        <w:rPr>
          <w:rFonts w:hint="eastAsia" w:ascii="仿宋" w:hAnsi="仿宋" w:eastAsia="仿宋" w:cs="仿宋"/>
          <w:color w:val="auto"/>
          <w:sz w:val="32"/>
          <w:szCs w:val="32"/>
          <w:highlight w:val="none"/>
          <w:lang w:val="en-US" w:eastAsia="zh-CN"/>
        </w:rPr>
        <w:t>采购办</w:t>
      </w:r>
      <w:r>
        <w:rPr>
          <w:rFonts w:hint="eastAsia" w:ascii="仿宋" w:hAnsi="仿宋" w:eastAsia="仿宋" w:cs="仿宋"/>
          <w:color w:val="auto"/>
          <w:sz w:val="32"/>
          <w:szCs w:val="32"/>
          <w:highlight w:val="none"/>
          <w:lang w:val="zh-CN" w:eastAsia="zh-CN"/>
        </w:rPr>
        <w:t>联系人。</w:t>
      </w:r>
    </w:p>
    <w:p>
      <w:pPr>
        <w:spacing w:line="240" w:lineRule="auto"/>
        <w:rPr>
          <w:rFonts w:hint="eastAsia" w:ascii="黑体" w:hAnsi="黑体" w:eastAsia="黑体" w:cs="黑体"/>
          <w:b/>
          <w:bCs/>
          <w:color w:val="auto"/>
          <w:sz w:val="44"/>
          <w:szCs w:val="44"/>
          <w:highlight w:val="none"/>
          <w:lang w:eastAsia="zh-CN"/>
        </w:rPr>
      </w:pPr>
      <w:r>
        <w:rPr>
          <w:rFonts w:hint="eastAsia" w:ascii="黑体" w:hAnsi="黑体" w:eastAsia="黑体" w:cs="黑体"/>
          <w:b/>
          <w:bCs/>
          <w:color w:val="auto"/>
          <w:sz w:val="44"/>
          <w:szCs w:val="44"/>
          <w:highlight w:val="none"/>
          <w:lang w:eastAsia="zh-CN"/>
        </w:rPr>
        <w:br w:type="page"/>
      </w:r>
    </w:p>
    <w:p>
      <w:pPr>
        <w:pageBreakBefore w:val="0"/>
        <w:kinsoku/>
        <w:wordWrap/>
        <w:overflowPunct/>
        <w:topLinePunct w:val="0"/>
        <w:autoSpaceDE/>
        <w:autoSpaceDN/>
        <w:bidi w:val="0"/>
        <w:spacing w:line="360" w:lineRule="exact"/>
        <w:jc w:val="center"/>
        <w:outlineLvl w:val="0"/>
        <w:rPr>
          <w:rFonts w:hint="eastAsia" w:ascii="黑体" w:hAnsi="黑体" w:eastAsia="黑体" w:cs="黑体"/>
          <w:color w:val="auto"/>
          <w:sz w:val="36"/>
          <w:szCs w:val="36"/>
          <w:highlight w:val="none"/>
        </w:rPr>
      </w:pPr>
      <w:r>
        <w:rPr>
          <w:rFonts w:hint="eastAsia" w:ascii="黑体" w:hAnsi="黑体" w:eastAsia="黑体" w:cs="黑体"/>
          <w:b/>
          <w:color w:val="auto"/>
          <w:sz w:val="36"/>
          <w:szCs w:val="36"/>
          <w:highlight w:val="none"/>
        </w:rPr>
        <w:t xml:space="preserve">第三章  </w:t>
      </w:r>
      <w:r>
        <w:rPr>
          <w:rFonts w:hint="eastAsia" w:ascii="黑体" w:hAnsi="黑体" w:eastAsia="黑体" w:cs="黑体"/>
          <w:b/>
          <w:color w:val="auto"/>
          <w:sz w:val="36"/>
          <w:szCs w:val="36"/>
          <w:highlight w:val="none"/>
          <w:lang w:eastAsia="zh-CN"/>
        </w:rPr>
        <w:t>采购</w:t>
      </w:r>
      <w:r>
        <w:rPr>
          <w:rFonts w:hint="eastAsia" w:ascii="黑体" w:hAnsi="黑体" w:eastAsia="黑体" w:cs="黑体"/>
          <w:b/>
          <w:color w:val="auto"/>
          <w:sz w:val="36"/>
          <w:szCs w:val="36"/>
          <w:highlight w:val="none"/>
        </w:rPr>
        <w:t>程序和成交标准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采购办</w:t>
      </w:r>
      <w:r>
        <w:rPr>
          <w:rFonts w:hint="eastAsia" w:ascii="仿宋" w:hAnsi="仿宋" w:eastAsia="仿宋" w:cs="仿宋"/>
          <w:color w:val="auto"/>
          <w:sz w:val="32"/>
          <w:szCs w:val="32"/>
          <w:highlight w:val="none"/>
        </w:rPr>
        <w:t>将根据</w:t>
      </w:r>
      <w:r>
        <w:rPr>
          <w:rFonts w:hint="eastAsia" w:ascii="仿宋" w:hAnsi="仿宋" w:eastAsia="仿宋" w:cs="仿宋"/>
          <w:color w:val="auto"/>
          <w:sz w:val="32"/>
          <w:szCs w:val="32"/>
          <w:highlight w:val="none"/>
          <w:lang w:eastAsia="zh-CN"/>
        </w:rPr>
        <w:t>采购邀请</w:t>
      </w:r>
      <w:r>
        <w:rPr>
          <w:rFonts w:hint="eastAsia" w:ascii="仿宋" w:hAnsi="仿宋" w:eastAsia="仿宋" w:cs="仿宋"/>
          <w:color w:val="auto"/>
          <w:sz w:val="32"/>
          <w:szCs w:val="32"/>
          <w:highlight w:val="none"/>
        </w:rPr>
        <w:t>中规定的递交文件截止时间前接受供应商响应文件，并按以下程序组织</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一、组织</w:t>
      </w:r>
      <w:r>
        <w:rPr>
          <w:rFonts w:hint="eastAsia" w:ascii="仿宋" w:hAnsi="仿宋" w:eastAsia="仿宋" w:cs="仿宋"/>
          <w:color w:val="auto"/>
          <w:sz w:val="32"/>
          <w:szCs w:val="32"/>
          <w:highlight w:val="none"/>
          <w:lang w:eastAsia="zh-CN"/>
        </w:rPr>
        <w:t>采购评审</w:t>
      </w:r>
      <w:r>
        <w:rPr>
          <w:rFonts w:hint="eastAsia" w:ascii="仿宋" w:hAnsi="仿宋" w:eastAsia="仿宋" w:cs="仿宋"/>
          <w:color w:val="auto"/>
          <w:sz w:val="32"/>
          <w:szCs w:val="32"/>
          <w:highlight w:val="none"/>
        </w:rPr>
        <w:t>对供应商递交的响应文件进行资格审查和符合性审查。</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二、通过资格审查和符合性审查供应商数量不足三家的，本次采购活动终止。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出现但不限于下列情况之一的，其响应文件将被视为无效文件不予通过资格审查和符合性审查：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资格不符合要求的；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响应文件未实质性响应</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文件要求的；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响应文件无法定代表人签字，或签字人未被法定代表人授权的</w:t>
      </w:r>
      <w:r>
        <w:rPr>
          <w:rFonts w:hint="eastAsia" w:ascii="仿宋" w:hAnsi="仿宋" w:eastAsia="仿宋" w:cs="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所报总价超出项目预算且无法支付的；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kern w:val="0"/>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不同</w:t>
      </w:r>
      <w:r>
        <w:rPr>
          <w:rFonts w:hint="eastAsia" w:ascii="仿宋" w:hAnsi="仿宋" w:eastAsia="仿宋" w:cs="仿宋"/>
          <w:color w:val="auto"/>
          <w:kern w:val="0"/>
          <w:sz w:val="32"/>
          <w:szCs w:val="32"/>
          <w:highlight w:val="none"/>
        </w:rPr>
        <w:t>供应商负责人为同一人或者存在直接控股、管理关系的；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lang w:eastAsia="zh-CN"/>
        </w:rPr>
        <w:t>负偏离。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中，</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的任何一方不得透露与</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有关的其他供应商的技术资料、价格和其他信息。</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轮次一般为一轮（评审</w:t>
      </w:r>
      <w:r>
        <w:rPr>
          <w:rFonts w:hint="eastAsia" w:ascii="仿宋" w:hAnsi="仿宋" w:eastAsia="仿宋" w:cs="仿宋"/>
          <w:color w:val="auto"/>
          <w:sz w:val="32"/>
          <w:szCs w:val="32"/>
          <w:highlight w:val="none"/>
          <w:lang w:eastAsia="zh-CN"/>
        </w:rPr>
        <w:t>小组</w:t>
      </w:r>
      <w:r>
        <w:rPr>
          <w:rFonts w:hint="eastAsia" w:ascii="仿宋" w:hAnsi="仿宋" w:eastAsia="仿宋" w:cs="仿宋"/>
          <w:color w:val="auto"/>
          <w:sz w:val="32"/>
          <w:szCs w:val="32"/>
          <w:highlight w:val="none"/>
        </w:rPr>
        <w:t>可根据</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情况调整轮次）。如供应商在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过程中存在违法、违纪行为，</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将不允许其参加最后报价。</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结束后，</w:t>
      </w:r>
      <w:r>
        <w:rPr>
          <w:rFonts w:hint="eastAsia" w:ascii="仿宋" w:hAnsi="仿宋" w:eastAsia="仿宋" w:cs="仿宋"/>
          <w:color w:val="auto"/>
          <w:sz w:val="32"/>
          <w:szCs w:val="32"/>
          <w:highlight w:val="none"/>
          <w:lang w:eastAsia="zh-CN"/>
        </w:rPr>
        <w:t>评审小组要求供应商现场进行</w:t>
      </w:r>
      <w:r>
        <w:rPr>
          <w:rFonts w:hint="eastAsia" w:ascii="仿宋" w:hAnsi="仿宋" w:eastAsia="仿宋" w:cs="仿宋"/>
          <w:color w:val="auto"/>
          <w:sz w:val="32"/>
          <w:szCs w:val="32"/>
          <w:highlight w:val="none"/>
        </w:rPr>
        <w:t>最终报价</w:t>
      </w:r>
      <w:r>
        <w:rPr>
          <w:rFonts w:hint="eastAsia" w:ascii="仿宋" w:hAnsi="仿宋" w:eastAsia="仿宋" w:cs="仿宋"/>
          <w:color w:val="auto"/>
          <w:sz w:val="32"/>
          <w:szCs w:val="32"/>
          <w:highlight w:val="none"/>
          <w:lang w:eastAsia="zh-CN"/>
        </w:rPr>
        <w:t>填报后</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根据符合采购需求、质量和服务相等</w:t>
      </w:r>
      <w:r>
        <w:rPr>
          <w:rFonts w:hint="eastAsia" w:ascii="仿宋" w:hAnsi="仿宋" w:eastAsia="仿宋" w:cs="仿宋"/>
          <w:color w:val="auto"/>
          <w:sz w:val="32"/>
          <w:szCs w:val="32"/>
          <w:highlight w:val="none"/>
          <w:lang w:val="en-US" w:eastAsia="zh-CN"/>
        </w:rPr>
        <w:t>且综合评分最高的原</w:t>
      </w:r>
      <w:r>
        <w:rPr>
          <w:rFonts w:hint="eastAsia" w:ascii="仿宋" w:hAnsi="仿宋" w:eastAsia="仿宋" w:cs="仿宋"/>
          <w:color w:val="auto"/>
          <w:sz w:val="32"/>
          <w:szCs w:val="32"/>
          <w:highlight w:val="none"/>
        </w:rPr>
        <w:t>则推荐成交候选供应商，由采购人授权</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确认成交供应商，</w:t>
      </w:r>
      <w:r>
        <w:rPr>
          <w:rFonts w:hint="eastAsia" w:ascii="仿宋" w:hAnsi="仿宋" w:eastAsia="仿宋" w:cs="仿宋"/>
          <w:color w:val="auto"/>
          <w:sz w:val="32"/>
          <w:szCs w:val="32"/>
          <w:highlight w:val="none"/>
          <w:lang w:eastAsia="zh-CN"/>
        </w:rPr>
        <w:t>采购办</w:t>
      </w:r>
      <w:r>
        <w:rPr>
          <w:rFonts w:hint="eastAsia" w:ascii="仿宋" w:hAnsi="仿宋" w:eastAsia="仿宋" w:cs="仿宋"/>
          <w:color w:val="auto"/>
          <w:sz w:val="32"/>
          <w:szCs w:val="32"/>
          <w:highlight w:val="none"/>
        </w:rPr>
        <w:t>于</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个工作日内在</w:t>
      </w:r>
      <w:r>
        <w:rPr>
          <w:rFonts w:hint="eastAsia" w:ascii="仿宋" w:hAnsi="仿宋" w:eastAsia="仿宋" w:cs="仿宋"/>
          <w:color w:val="auto"/>
          <w:sz w:val="32"/>
          <w:szCs w:val="32"/>
          <w:highlight w:val="none"/>
          <w:lang w:eastAsia="zh-CN"/>
        </w:rPr>
        <w:t>乐山市五通桥区人民医院</w:t>
      </w:r>
      <w:r>
        <w:rPr>
          <w:rFonts w:hint="eastAsia" w:ascii="仿宋" w:hAnsi="仿宋" w:eastAsia="仿宋" w:cs="仿宋"/>
          <w:color w:val="auto"/>
          <w:sz w:val="32"/>
          <w:szCs w:val="32"/>
          <w:highlight w:val="none"/>
          <w:lang w:val="en-US" w:eastAsia="zh-CN"/>
        </w:rPr>
        <w:t>网</w:t>
      </w:r>
      <w:r>
        <w:rPr>
          <w:rFonts w:hint="eastAsia" w:ascii="仿宋" w:hAnsi="仿宋" w:eastAsia="仿宋" w:cs="仿宋"/>
          <w:color w:val="auto"/>
          <w:sz w:val="32"/>
          <w:szCs w:val="32"/>
          <w:highlight w:val="none"/>
        </w:rPr>
        <w:t>上公告成交结果。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四、成交标准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按</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最终报价为依据（未组织</w:t>
      </w:r>
      <w:r>
        <w:rPr>
          <w:rFonts w:hint="eastAsia" w:ascii="仿宋" w:hAnsi="仿宋" w:eastAsia="仿宋" w:cs="仿宋"/>
          <w:color w:val="auto"/>
          <w:sz w:val="32"/>
          <w:szCs w:val="32"/>
          <w:highlight w:val="none"/>
          <w:lang w:val="en-US" w:eastAsia="zh-CN"/>
        </w:rPr>
        <w:t>二次报价的，以报价响应文件中的报价为依据），体现满足采购项目要求,且综合评分最高原则确定成交供应商。</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采用最低</w:t>
      </w:r>
      <w:r>
        <w:rPr>
          <w:rFonts w:hint="eastAsia" w:ascii="仿宋" w:hAnsi="仿宋" w:eastAsia="仿宋" w:cs="仿宋"/>
          <w:color w:val="auto"/>
          <w:sz w:val="32"/>
          <w:szCs w:val="32"/>
          <w:highlight w:val="none"/>
          <w:lang w:val="en-US" w:eastAsia="zh-CN"/>
        </w:rPr>
        <w:t>价</w:t>
      </w:r>
      <w:r>
        <w:rPr>
          <w:rFonts w:hint="eastAsia" w:ascii="仿宋" w:hAnsi="仿宋" w:eastAsia="仿宋" w:cs="仿宋"/>
          <w:color w:val="auto"/>
          <w:sz w:val="32"/>
          <w:szCs w:val="32"/>
          <w:highlight w:val="none"/>
        </w:rPr>
        <w:t>评</w:t>
      </w:r>
      <w:r>
        <w:rPr>
          <w:rFonts w:hint="eastAsia" w:ascii="仿宋" w:hAnsi="仿宋" w:eastAsia="仿宋" w:cs="仿宋"/>
          <w:color w:val="auto"/>
          <w:sz w:val="32"/>
          <w:szCs w:val="32"/>
          <w:highlight w:val="none"/>
          <w:lang w:val="en-US" w:eastAsia="zh-CN"/>
        </w:rPr>
        <w:t>分</w:t>
      </w:r>
      <w:r>
        <w:rPr>
          <w:rFonts w:hint="eastAsia" w:ascii="仿宋" w:hAnsi="仿宋" w:eastAsia="仿宋" w:cs="仿宋"/>
          <w:color w:val="auto"/>
          <w:sz w:val="32"/>
          <w:szCs w:val="32"/>
          <w:highlight w:val="none"/>
        </w:rPr>
        <w:t>法的采购项目，提供相同品牌产品的不同投标人参加同一合同项下投标的，以其中通过资格审查、符合性审查且报价最低的参加评标；报价相同的，由采购人</w:t>
      </w:r>
      <w:r>
        <w:rPr>
          <w:rFonts w:hint="eastAsia" w:ascii="仿宋" w:hAnsi="仿宋" w:eastAsia="仿宋" w:cs="仿宋"/>
          <w:color w:val="auto"/>
          <w:sz w:val="32"/>
          <w:szCs w:val="32"/>
          <w:highlight w:val="none"/>
          <w:lang w:val="en-US" w:eastAsia="zh-CN"/>
        </w:rPr>
        <w:t>组织</w:t>
      </w:r>
      <w:r>
        <w:rPr>
          <w:rFonts w:hint="eastAsia" w:ascii="仿宋" w:hAnsi="仿宋" w:eastAsia="仿宋" w:cs="仿宋"/>
          <w:color w:val="auto"/>
          <w:sz w:val="32"/>
          <w:szCs w:val="32"/>
          <w:highlight w:val="none"/>
        </w:rPr>
        <w:t>评标</w:t>
      </w:r>
      <w:r>
        <w:rPr>
          <w:rFonts w:hint="eastAsia" w:ascii="仿宋" w:hAnsi="仿宋" w:eastAsia="仿宋" w:cs="仿宋"/>
          <w:color w:val="auto"/>
          <w:sz w:val="32"/>
          <w:szCs w:val="32"/>
          <w:highlight w:val="none"/>
          <w:lang w:val="en-US" w:eastAsia="zh-CN"/>
        </w:rPr>
        <w:t>小组</w:t>
      </w:r>
      <w:r>
        <w:rPr>
          <w:rFonts w:hint="eastAsia" w:ascii="仿宋" w:hAnsi="仿宋" w:eastAsia="仿宋" w:cs="仿宋"/>
          <w:color w:val="auto"/>
          <w:sz w:val="32"/>
          <w:szCs w:val="32"/>
          <w:highlight w:val="none"/>
        </w:rPr>
        <w:t>按照采取随机抽取方式确定</w:t>
      </w:r>
      <w:r>
        <w:rPr>
          <w:rFonts w:hint="eastAsia" w:ascii="仿宋" w:hAnsi="仿宋" w:eastAsia="仿宋" w:cs="仿宋"/>
          <w:color w:val="auto"/>
          <w:sz w:val="32"/>
          <w:szCs w:val="32"/>
          <w:highlight w:val="none"/>
          <w:lang w:val="en-US" w:eastAsia="zh-CN"/>
        </w:rPr>
        <w:t>第一候选人</w:t>
      </w:r>
      <w:r>
        <w:rPr>
          <w:rFonts w:hint="eastAsia" w:ascii="仿宋" w:hAnsi="仿宋" w:eastAsia="仿宋" w:cs="仿宋"/>
          <w:color w:val="auto"/>
          <w:sz w:val="32"/>
          <w:szCs w:val="32"/>
          <w:highlight w:val="none"/>
        </w:rPr>
        <w:t>，其他投标无效。</w:t>
      </w:r>
    </w:p>
    <w:p>
      <w:pPr>
        <w:ind w:firstLine="640" w:firstLineChars="200"/>
        <w:jc w:val="left"/>
        <w:rPr>
          <w:rFonts w:hint="default" w:eastAsia="仿宋"/>
          <w:color w:val="auto"/>
          <w:highlight w:val="none"/>
          <w:lang w:val="en-US" w:eastAsia="zh-CN"/>
        </w:rPr>
      </w:pPr>
      <w:r>
        <w:rPr>
          <w:rFonts w:hint="eastAsia" w:ascii="仿宋" w:hAnsi="仿宋" w:eastAsia="仿宋" w:cs="仿宋"/>
          <w:color w:val="auto"/>
          <w:sz w:val="32"/>
          <w:szCs w:val="32"/>
          <w:highlight w:val="none"/>
          <w:lang w:val="en-US" w:eastAsia="zh-CN"/>
        </w:rPr>
        <w:t>采用</w:t>
      </w:r>
      <w:r>
        <w:rPr>
          <w:rFonts w:hint="eastAsia" w:ascii="仿宋" w:hAnsi="仿宋" w:eastAsia="仿宋" w:cs="仿宋"/>
          <w:color w:val="auto"/>
          <w:sz w:val="32"/>
          <w:szCs w:val="32"/>
          <w:highlight w:val="none"/>
        </w:rPr>
        <w:t>综合评分法的采购项目，提供相同品牌产品且通过资格审查、符合性审查的不同投标人参加同一合同项下投标的，按一家投标人计算，评审后得分最高的同品牌投标人获得中标人推荐资格；评审得分相同的，</w:t>
      </w:r>
      <w:r>
        <w:rPr>
          <w:rFonts w:hint="eastAsia" w:ascii="仿宋" w:hAnsi="仿宋" w:eastAsia="仿宋" w:cs="仿宋"/>
          <w:color w:val="auto"/>
          <w:sz w:val="32"/>
          <w:szCs w:val="32"/>
          <w:highlight w:val="none"/>
          <w:lang w:val="en-US" w:eastAsia="zh-CN"/>
        </w:rPr>
        <w:t>则价格最低的供应商</w:t>
      </w:r>
      <w:r>
        <w:rPr>
          <w:rFonts w:hint="eastAsia" w:ascii="仿宋" w:hAnsi="仿宋" w:eastAsia="仿宋" w:cs="仿宋"/>
          <w:color w:val="auto"/>
          <w:sz w:val="32"/>
          <w:szCs w:val="32"/>
          <w:highlight w:val="none"/>
        </w:rPr>
        <w:t>确定</w:t>
      </w:r>
      <w:r>
        <w:rPr>
          <w:rFonts w:hint="eastAsia" w:ascii="仿宋" w:hAnsi="仿宋" w:eastAsia="仿宋" w:cs="仿宋"/>
          <w:color w:val="auto"/>
          <w:sz w:val="32"/>
          <w:szCs w:val="32"/>
          <w:highlight w:val="none"/>
          <w:lang w:val="en-US" w:eastAsia="zh-CN"/>
        </w:rPr>
        <w:t>第一候选人。价格也相同时，</w:t>
      </w:r>
      <w:r>
        <w:rPr>
          <w:rFonts w:hint="eastAsia" w:ascii="仿宋" w:hAnsi="仿宋" w:eastAsia="仿宋" w:cs="仿宋"/>
          <w:color w:val="auto"/>
          <w:sz w:val="32"/>
          <w:szCs w:val="32"/>
          <w:highlight w:val="none"/>
        </w:rPr>
        <w:t>由采购人</w:t>
      </w:r>
      <w:r>
        <w:rPr>
          <w:rFonts w:hint="eastAsia" w:ascii="仿宋" w:hAnsi="仿宋" w:eastAsia="仿宋" w:cs="仿宋"/>
          <w:color w:val="auto"/>
          <w:sz w:val="32"/>
          <w:szCs w:val="32"/>
          <w:highlight w:val="none"/>
          <w:lang w:val="en-US" w:eastAsia="zh-CN"/>
        </w:rPr>
        <w:t>组织</w:t>
      </w:r>
      <w:r>
        <w:rPr>
          <w:rFonts w:hint="eastAsia" w:ascii="仿宋" w:hAnsi="仿宋" w:eastAsia="仿宋" w:cs="仿宋"/>
          <w:color w:val="auto"/>
          <w:sz w:val="32"/>
          <w:szCs w:val="32"/>
          <w:highlight w:val="none"/>
        </w:rPr>
        <w:t>评标</w:t>
      </w:r>
      <w:r>
        <w:rPr>
          <w:rFonts w:hint="eastAsia" w:ascii="仿宋" w:hAnsi="仿宋" w:eastAsia="仿宋" w:cs="仿宋"/>
          <w:color w:val="auto"/>
          <w:sz w:val="32"/>
          <w:szCs w:val="32"/>
          <w:highlight w:val="none"/>
          <w:lang w:val="en-US" w:eastAsia="zh-CN"/>
        </w:rPr>
        <w:t>小组</w:t>
      </w:r>
      <w:r>
        <w:rPr>
          <w:rFonts w:hint="eastAsia" w:ascii="仿宋" w:hAnsi="仿宋" w:eastAsia="仿宋" w:cs="仿宋"/>
          <w:color w:val="auto"/>
          <w:sz w:val="32"/>
          <w:szCs w:val="32"/>
          <w:highlight w:val="none"/>
        </w:rPr>
        <w:t>按照采取随机抽取方式确定</w:t>
      </w:r>
      <w:r>
        <w:rPr>
          <w:rFonts w:hint="eastAsia" w:ascii="仿宋" w:hAnsi="仿宋" w:eastAsia="仿宋" w:cs="仿宋"/>
          <w:color w:val="auto"/>
          <w:sz w:val="32"/>
          <w:szCs w:val="32"/>
          <w:highlight w:val="none"/>
          <w:lang w:val="en-US" w:eastAsia="zh-CN"/>
        </w:rPr>
        <w:t>第一候选人</w:t>
      </w:r>
      <w:r>
        <w:rPr>
          <w:rFonts w:hint="eastAsia" w:ascii="仿宋" w:hAnsi="仿宋" w:eastAsia="仿宋" w:cs="仿宋"/>
          <w:color w:val="auto"/>
          <w:sz w:val="32"/>
          <w:szCs w:val="32"/>
          <w:highlight w:val="none"/>
        </w:rPr>
        <w:t>，其他投标无效。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w:t>
      </w:r>
      <w:r>
        <w:rPr>
          <w:rFonts w:hint="eastAsia" w:ascii="仿宋" w:hAnsi="仿宋" w:eastAsia="仿宋" w:cs="仿宋"/>
          <w:color w:val="auto"/>
          <w:sz w:val="32"/>
          <w:szCs w:val="32"/>
          <w:highlight w:val="none"/>
          <w:lang w:eastAsia="zh-CN"/>
        </w:rPr>
        <w:t>院内采购评审小组</w:t>
      </w:r>
      <w:r>
        <w:rPr>
          <w:rFonts w:hint="eastAsia" w:ascii="仿宋" w:hAnsi="仿宋" w:eastAsia="仿宋" w:cs="仿宋"/>
          <w:color w:val="auto"/>
          <w:sz w:val="32"/>
          <w:szCs w:val="32"/>
          <w:highlight w:val="none"/>
        </w:rPr>
        <w:t>的组建。</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依法由三人</w:t>
      </w:r>
      <w:r>
        <w:rPr>
          <w:rFonts w:hint="eastAsia" w:ascii="仿宋" w:hAnsi="仿宋" w:eastAsia="仿宋" w:cs="仿宋"/>
          <w:color w:val="auto"/>
          <w:sz w:val="32"/>
          <w:szCs w:val="32"/>
          <w:highlight w:val="none"/>
          <w:lang w:eastAsia="zh-CN"/>
        </w:rPr>
        <w:t>及</w:t>
      </w:r>
      <w:r>
        <w:rPr>
          <w:rFonts w:hint="eastAsia" w:ascii="仿宋" w:hAnsi="仿宋" w:eastAsia="仿宋" w:cs="仿宋"/>
          <w:color w:val="auto"/>
          <w:sz w:val="32"/>
          <w:szCs w:val="32"/>
          <w:highlight w:val="none"/>
        </w:rPr>
        <w:t>以上单数组成。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六、</w:t>
      </w:r>
      <w:r>
        <w:rPr>
          <w:rFonts w:hint="eastAsia" w:ascii="仿宋" w:hAnsi="仿宋" w:eastAsia="仿宋" w:cs="仿宋"/>
          <w:color w:val="auto"/>
          <w:sz w:val="32"/>
          <w:szCs w:val="32"/>
          <w:highlight w:val="none"/>
        </w:rPr>
        <w:t>低于成本价不正当竞争预防措施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在评审过程中，供应商报价明显低于其他有效供应商报价，有可能影响产品质量或者不能诚信履约的，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小组应当要求其在</w:t>
      </w:r>
      <w:r>
        <w:rPr>
          <w:rFonts w:hint="eastAsia" w:ascii="仿宋" w:hAnsi="仿宋" w:eastAsia="仿宋" w:cs="仿宋"/>
          <w:color w:val="auto"/>
          <w:sz w:val="32"/>
          <w:szCs w:val="32"/>
          <w:highlight w:val="none"/>
          <w:lang w:val="en-US" w:eastAsia="zh-CN"/>
        </w:rPr>
        <w:t>半</w:t>
      </w:r>
      <w:r>
        <w:rPr>
          <w:rFonts w:hint="eastAsia" w:ascii="仿宋" w:hAnsi="仿宋" w:eastAsia="仿宋" w:cs="仿宋"/>
          <w:color w:val="auto"/>
          <w:sz w:val="32"/>
          <w:szCs w:val="32"/>
          <w:highlight w:val="none"/>
        </w:rPr>
        <w:t>小时内提供书面说明，并提交相关证明材料，供应商不能证明其报价合理性的，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小组应当将其作为无效处理。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供应商的书面说明材料应当按照国家财务会计制度的规定要求，逐项就供应商提供的货物、工程和服务的主营业务成本、税金及附加、销售费用、管理费用、财务费用等成本构成事项详细陈述。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供应商书面说明应当签字确认或者加盖公章，否则无效。书面说明的签字确认，由其法定代表人/主要负责人/本人或者其授权代表签字确认。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供应商提供书面说明后，</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小组应当将其响应文件作为无效处理。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工作纪律和注意事项。在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活动中，供应商、</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成员、组织</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工作的有关工作人员应严格遵守相关纪律规定，注意以下事项：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不得泄露</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活动在应当保密的情况和资料，不得与供应商串通损害国家利益、社会公共利益或者他人合法权益。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供应商不得相互串通报价；不得向</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成员行贿谋取成交；不得以他人名义或者其他方式弄虚作假骗取成交；不得以任何方式干扰、影响</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成员不得收受他人财物或者其他好处，不得向他人透露</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活动中的各个细节和标准情况。在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活动中，不得擅离职守，影响</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活动的进行，不得使用本</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文件规定以外的因素和标准进行评审、比较。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color w:val="auto"/>
          <w:sz w:val="24"/>
          <w:highlight w:val="none"/>
        </w:rPr>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组织</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的工作人员不得收受他人的财物或者其他好处，不得向他人透露</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活动中各有关细节及推荐评审情况。在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活动中不得擅离职守，影响</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活动的正常进行。</w:t>
      </w:r>
    </w:p>
    <w:p>
      <w:pPr>
        <w:pStyle w:val="9"/>
        <w:ind w:left="0" w:leftChars="0" w:firstLine="0" w:firstLineChars="0"/>
        <w:rPr>
          <w:rFonts w:hint="eastAsia" w:ascii="黑体" w:hAnsi="黑体" w:eastAsia="黑体" w:cs="黑体"/>
          <w:color w:val="auto"/>
          <w:highlight w:val="none"/>
          <w:lang w:eastAsia="zh-CN"/>
        </w:rPr>
      </w:pPr>
    </w:p>
    <w:p>
      <w:pPr>
        <w:rPr>
          <w:rFonts w:hint="eastAsia" w:ascii="黑体" w:hAnsi="黑体" w:eastAsia="黑体" w:cs="黑体"/>
          <w:color w:val="auto"/>
          <w:highlight w:val="none"/>
          <w:lang w:val="en-US" w:eastAsia="zh-CN"/>
        </w:rPr>
      </w:pPr>
    </w:p>
    <w:p>
      <w:pPr>
        <w:rPr>
          <w:rFonts w:hint="eastAsia" w:ascii="黑体" w:hAnsi="黑体" w:eastAsia="黑体" w:cs="黑体"/>
          <w:b/>
          <w:color w:val="auto"/>
          <w:sz w:val="48"/>
          <w:szCs w:val="48"/>
          <w:highlight w:val="none"/>
          <w:u w:val="single"/>
        </w:rPr>
      </w:pPr>
      <w:r>
        <w:rPr>
          <w:rFonts w:hint="eastAsia" w:ascii="黑体" w:hAnsi="黑体" w:eastAsia="黑体" w:cs="黑体"/>
          <w:b/>
          <w:color w:val="auto"/>
          <w:sz w:val="48"/>
          <w:szCs w:val="48"/>
          <w:highlight w:val="none"/>
          <w:u w:val="single"/>
        </w:rPr>
        <w:br w:type="page"/>
      </w:r>
    </w:p>
    <w:p>
      <w:pPr>
        <w:spacing w:line="360" w:lineRule="auto"/>
        <w:jc w:val="center"/>
        <w:rPr>
          <w:rFonts w:hint="eastAsia" w:ascii="黑体" w:hAnsi="黑体" w:eastAsia="黑体" w:cs="黑体"/>
          <w:b/>
          <w:color w:val="auto"/>
          <w:sz w:val="48"/>
          <w:szCs w:val="48"/>
          <w:highlight w:val="none"/>
          <w:lang w:val="en-US" w:eastAsia="zh-CN"/>
        </w:rPr>
      </w:pPr>
      <w:r>
        <w:rPr>
          <w:rFonts w:hint="eastAsia" w:ascii="黑体" w:hAnsi="黑体" w:eastAsia="黑体" w:cs="黑体"/>
          <w:b/>
          <w:color w:val="auto"/>
          <w:sz w:val="48"/>
          <w:szCs w:val="48"/>
          <w:highlight w:val="none"/>
          <w:lang w:val="en-US" w:eastAsia="zh-CN"/>
        </w:rPr>
        <w:t>（采购封面）</w:t>
      </w:r>
    </w:p>
    <w:p>
      <w:pPr>
        <w:spacing w:line="360" w:lineRule="auto"/>
        <w:jc w:val="center"/>
        <w:rPr>
          <w:rFonts w:hint="eastAsia" w:ascii="黑体" w:hAnsi="黑体" w:eastAsia="黑体" w:cs="黑体"/>
          <w:b/>
          <w:color w:val="auto"/>
          <w:sz w:val="48"/>
          <w:szCs w:val="48"/>
          <w:highlight w:val="none"/>
          <w:lang w:eastAsia="zh-CN"/>
        </w:rPr>
      </w:pPr>
      <w:r>
        <w:rPr>
          <w:rFonts w:hint="eastAsia" w:ascii="黑体" w:hAnsi="黑体" w:eastAsia="黑体" w:cs="黑体"/>
          <w:b/>
          <w:color w:val="auto"/>
          <w:sz w:val="48"/>
          <w:szCs w:val="48"/>
          <w:highlight w:val="none"/>
          <w:lang w:val="en-US" w:eastAsia="zh-CN"/>
        </w:rPr>
        <w:t>乐山市五通桥区人民医院采购项目</w:t>
      </w:r>
    </w:p>
    <w:p>
      <w:pPr>
        <w:spacing w:line="400" w:lineRule="exact"/>
        <w:ind w:firstLine="4897" w:firstLineChars="583"/>
        <w:rPr>
          <w:rFonts w:hint="eastAsia" w:ascii="黑体" w:hAnsi="黑体" w:eastAsia="黑体" w:cs="黑体"/>
          <w:color w:val="auto"/>
          <w:sz w:val="84"/>
          <w:szCs w:val="84"/>
          <w:highlight w:val="none"/>
          <w:lang w:eastAsia="zh-CN"/>
        </w:rPr>
      </w:pPr>
    </w:p>
    <w:p>
      <w:pPr>
        <w:pStyle w:val="6"/>
        <w:jc w:val="center"/>
        <w:rPr>
          <w:rFonts w:hint="eastAsia" w:ascii="黑体" w:hAnsi="黑体" w:eastAsia="黑体" w:cs="黑体"/>
          <w:color w:val="auto"/>
          <w:sz w:val="44"/>
          <w:szCs w:val="44"/>
          <w:highlight w:val="none"/>
          <w:lang w:val="en-US" w:eastAsia="zh-CN"/>
        </w:rPr>
      </w:pPr>
      <w:r>
        <w:rPr>
          <w:rFonts w:hint="eastAsia" w:ascii="黑体" w:hAnsi="黑体" w:eastAsia="黑体" w:cs="黑体"/>
          <w:color w:val="auto"/>
          <w:sz w:val="44"/>
          <w:szCs w:val="44"/>
          <w:highlight w:val="none"/>
          <w:lang w:val="en-US" w:eastAsia="zh-CN"/>
        </w:rPr>
        <w:t>院内采购文件</w:t>
      </w:r>
    </w:p>
    <w:p>
      <w:pPr>
        <w:rPr>
          <w:rFonts w:hint="eastAsia" w:ascii="黑体" w:hAnsi="黑体" w:eastAsia="黑体" w:cs="黑体"/>
          <w:color w:val="auto"/>
          <w:sz w:val="84"/>
          <w:szCs w:val="84"/>
          <w:highlight w:val="none"/>
          <w:lang w:val="en-US" w:eastAsia="zh-CN"/>
        </w:rPr>
      </w:pPr>
    </w:p>
    <w:p>
      <w:pPr>
        <w:pStyle w:val="6"/>
        <w:rPr>
          <w:rFonts w:hint="eastAsia" w:ascii="黑体" w:hAnsi="黑体" w:eastAsia="黑体" w:cs="黑体"/>
          <w:color w:val="auto"/>
          <w:highlight w:val="none"/>
          <w:lang w:val="en-US" w:eastAsia="zh-CN"/>
        </w:rPr>
      </w:pPr>
    </w:p>
    <w:p>
      <w:pPr>
        <w:spacing w:line="400" w:lineRule="exact"/>
        <w:ind w:firstLine="4897" w:firstLineChars="583"/>
        <w:rPr>
          <w:rFonts w:hint="eastAsia" w:ascii="黑体" w:hAnsi="黑体" w:eastAsia="黑体" w:cs="黑体"/>
          <w:color w:val="auto"/>
          <w:sz w:val="84"/>
          <w:szCs w:val="84"/>
          <w:highlight w:val="none"/>
        </w:rPr>
      </w:pPr>
    </w:p>
    <w:p>
      <w:pPr>
        <w:spacing w:line="400" w:lineRule="exact"/>
        <w:ind w:firstLine="4897" w:firstLineChars="583"/>
        <w:rPr>
          <w:rFonts w:hint="eastAsia" w:ascii="黑体" w:hAnsi="黑体" w:eastAsia="黑体" w:cs="黑体"/>
          <w:color w:val="auto"/>
          <w:sz w:val="84"/>
          <w:szCs w:val="84"/>
          <w:highlight w:val="none"/>
        </w:rPr>
      </w:pPr>
    </w:p>
    <w:p>
      <w:pPr>
        <w:spacing w:line="400" w:lineRule="exact"/>
        <w:rPr>
          <w:rFonts w:hint="eastAsia" w:ascii="黑体" w:hAnsi="黑体" w:eastAsia="黑体" w:cs="黑体"/>
          <w:b/>
          <w:bCs/>
          <w:color w:val="auto"/>
          <w:sz w:val="30"/>
          <w:szCs w:val="30"/>
          <w:highlight w:val="none"/>
        </w:rPr>
      </w:pPr>
    </w:p>
    <w:p>
      <w:pPr>
        <w:widowControl w:val="0"/>
        <w:adjustRightInd/>
        <w:spacing w:line="360" w:lineRule="auto"/>
        <w:rPr>
          <w:rFonts w:hint="eastAsia" w:ascii="黑体" w:hAnsi="黑体" w:eastAsia="黑体" w:cs="黑体"/>
          <w:b/>
          <w:color w:val="auto"/>
          <w:sz w:val="32"/>
          <w:szCs w:val="32"/>
          <w:highlight w:val="none"/>
          <w:u w:val="single"/>
        </w:rPr>
      </w:pPr>
      <w:r>
        <w:rPr>
          <w:rFonts w:hint="eastAsia" w:ascii="黑体" w:hAnsi="黑体" w:eastAsia="黑体" w:cs="黑体"/>
          <w:b/>
          <w:bCs/>
          <w:color w:val="auto"/>
          <w:sz w:val="32"/>
          <w:szCs w:val="32"/>
          <w:highlight w:val="none"/>
        </w:rPr>
        <w:t>项目名称：</w:t>
      </w:r>
      <w:r>
        <w:rPr>
          <w:rFonts w:hint="eastAsia" w:ascii="黑体" w:hAnsi="黑体" w:eastAsia="黑体" w:cs="黑体"/>
          <w:b/>
          <w:color w:val="auto"/>
          <w:sz w:val="32"/>
          <w:szCs w:val="32"/>
          <w:highlight w:val="none"/>
          <w:u w:val="single"/>
        </w:rPr>
        <w:t xml:space="preserve">                               </w:t>
      </w:r>
    </w:p>
    <w:p>
      <w:pPr>
        <w:widowControl w:val="0"/>
        <w:adjustRightInd/>
        <w:spacing w:line="360" w:lineRule="auto"/>
        <w:rPr>
          <w:rFonts w:hint="default" w:ascii="黑体" w:hAnsi="黑体" w:eastAsia="黑体" w:cs="黑体"/>
          <w:b/>
          <w:color w:val="auto"/>
          <w:sz w:val="32"/>
          <w:szCs w:val="32"/>
          <w:highlight w:val="none"/>
          <w:u w:val="single"/>
          <w:lang w:val="en-US" w:eastAsia="zh-CN"/>
        </w:rPr>
      </w:pPr>
      <w:r>
        <w:rPr>
          <w:rFonts w:hint="eastAsia" w:ascii="黑体" w:hAnsi="黑体" w:eastAsia="黑体" w:cs="黑体"/>
          <w:b/>
          <w:bCs/>
          <w:color w:val="auto"/>
          <w:sz w:val="32"/>
          <w:szCs w:val="32"/>
          <w:highlight w:val="none"/>
          <w:lang w:val="en-US" w:eastAsia="zh-CN"/>
        </w:rPr>
        <w:t>项目编号：</w:t>
      </w:r>
      <w:r>
        <w:rPr>
          <w:rFonts w:hint="eastAsia" w:ascii="黑体" w:hAnsi="黑体" w:eastAsia="黑体" w:cs="黑体"/>
          <w:b/>
          <w:color w:val="auto"/>
          <w:sz w:val="32"/>
          <w:szCs w:val="32"/>
          <w:highlight w:val="none"/>
          <w:u w:val="single"/>
          <w:lang w:val="en-US" w:eastAsia="zh-CN"/>
        </w:rPr>
        <w:t xml:space="preserve">                            </w:t>
      </w:r>
    </w:p>
    <w:p>
      <w:pPr>
        <w:widowControl w:val="0"/>
        <w:adjustRightInd/>
        <w:spacing w:line="360" w:lineRule="auto"/>
        <w:rPr>
          <w:rFonts w:hint="eastAsia" w:ascii="黑体" w:hAnsi="黑体" w:eastAsia="黑体" w:cs="黑体"/>
          <w:b/>
          <w:bCs/>
          <w:color w:val="auto"/>
          <w:sz w:val="32"/>
          <w:szCs w:val="32"/>
          <w:highlight w:val="none"/>
          <w:u w:val="single"/>
        </w:rPr>
      </w:pPr>
      <w:r>
        <w:rPr>
          <w:rFonts w:hint="eastAsia" w:ascii="黑体" w:hAnsi="黑体" w:eastAsia="黑体" w:cs="黑体"/>
          <w:b/>
          <w:bCs/>
          <w:color w:val="auto"/>
          <w:sz w:val="32"/>
          <w:szCs w:val="32"/>
          <w:highlight w:val="none"/>
          <w:lang w:eastAsia="zh-CN"/>
        </w:rPr>
        <w:t>供应</w:t>
      </w:r>
      <w:r>
        <w:rPr>
          <w:rFonts w:hint="eastAsia" w:ascii="黑体" w:hAnsi="黑体" w:eastAsia="黑体" w:cs="黑体"/>
          <w:b/>
          <w:bCs/>
          <w:color w:val="auto"/>
          <w:sz w:val="32"/>
          <w:szCs w:val="32"/>
          <w:highlight w:val="none"/>
        </w:rPr>
        <w:t>商名称</w:t>
      </w:r>
      <w:r>
        <w:rPr>
          <w:rFonts w:hint="eastAsia" w:ascii="黑体" w:hAnsi="黑体" w:eastAsia="黑体" w:cs="黑体"/>
          <w:b/>
          <w:color w:val="auto"/>
          <w:sz w:val="32"/>
          <w:szCs w:val="32"/>
          <w:highlight w:val="none"/>
        </w:rPr>
        <w:t xml:space="preserve">： </w:t>
      </w: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u w:val="single"/>
          <w:lang w:val="en-US" w:eastAsia="zh-CN"/>
        </w:rPr>
        <w:t xml:space="preserve">   </w:t>
      </w:r>
      <w:r>
        <w:rPr>
          <w:rFonts w:hint="eastAsia" w:ascii="黑体" w:hAnsi="黑体" w:eastAsia="黑体" w:cs="黑体"/>
          <w:color w:val="auto"/>
          <w:sz w:val="32"/>
          <w:szCs w:val="32"/>
          <w:highlight w:val="none"/>
          <w:u w:val="single"/>
        </w:rPr>
        <w:t xml:space="preserve">  </w:t>
      </w:r>
      <w:r>
        <w:rPr>
          <w:rFonts w:hint="eastAsia" w:ascii="黑体" w:hAnsi="黑体" w:eastAsia="黑体" w:cs="黑体"/>
          <w:b/>
          <w:bCs/>
          <w:color w:val="auto"/>
          <w:sz w:val="32"/>
          <w:szCs w:val="32"/>
          <w:highlight w:val="none"/>
        </w:rPr>
        <w:t>（盖章）</w:t>
      </w:r>
    </w:p>
    <w:p>
      <w:pPr>
        <w:widowControl w:val="0"/>
        <w:adjustRightInd/>
        <w:spacing w:line="360" w:lineRule="auto"/>
        <w:rPr>
          <w:rFonts w:hint="default"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联系人及电话：________________________</w:t>
      </w:r>
    </w:p>
    <w:p>
      <w:pPr>
        <w:widowControl w:val="0"/>
        <w:adjustRightInd/>
        <w:spacing w:line="360" w:lineRule="auto"/>
        <w:ind w:firstLine="315" w:firstLineChars="98"/>
        <w:rPr>
          <w:rFonts w:hint="eastAsia" w:ascii="黑体" w:hAnsi="黑体" w:eastAsia="黑体" w:cs="黑体"/>
          <w:b/>
          <w:bCs/>
          <w:color w:val="auto"/>
          <w:sz w:val="32"/>
          <w:szCs w:val="32"/>
          <w:highlight w:val="none"/>
        </w:rPr>
      </w:pPr>
    </w:p>
    <w:p>
      <w:pPr>
        <w:widowControl w:val="0"/>
        <w:adjustRightInd/>
        <w:spacing w:line="360" w:lineRule="auto"/>
        <w:ind w:firstLine="3040" w:firstLineChars="95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rPr>
        <w:t>日</w:t>
      </w:r>
    </w:p>
    <w:p>
      <w:pPr>
        <w:rPr>
          <w:rFonts w:hint="eastAsia" w:ascii="黑体" w:hAnsi="黑体" w:eastAsia="黑体" w:cs="黑体"/>
          <w:b/>
          <w:bCs/>
          <w:color w:val="auto"/>
          <w:sz w:val="32"/>
          <w:szCs w:val="32"/>
          <w:highlight w:val="none"/>
        </w:rPr>
      </w:pPr>
      <w:bookmarkStart w:id="0" w:name="_Toc5773"/>
      <w:bookmarkStart w:id="1" w:name="_Toc25737"/>
      <w:bookmarkStart w:id="2" w:name="_Toc9490"/>
      <w:bookmarkStart w:id="3" w:name="_Toc18458"/>
      <w:r>
        <w:rPr>
          <w:rFonts w:hint="eastAsia" w:ascii="黑体" w:hAnsi="黑体" w:eastAsia="黑体" w:cs="黑体"/>
          <w:b/>
          <w:bCs/>
          <w:color w:val="auto"/>
          <w:sz w:val="32"/>
          <w:szCs w:val="32"/>
          <w:highlight w:val="none"/>
        </w:rPr>
        <w:br w:type="page"/>
      </w:r>
    </w:p>
    <w:bookmarkEnd w:id="0"/>
    <w:bookmarkEnd w:id="1"/>
    <w:bookmarkEnd w:id="2"/>
    <w:bookmarkEnd w:id="3"/>
    <w:p>
      <w:pPr>
        <w:spacing w:line="240" w:lineRule="auto"/>
        <w:jc w:val="center"/>
        <w:rPr>
          <w:rFonts w:hint="eastAsia" w:ascii="黑体" w:hAnsi="黑体" w:eastAsia="黑体" w:cs="黑体"/>
          <w:color w:val="auto"/>
          <w:spacing w:val="2"/>
          <w:sz w:val="40"/>
          <w:szCs w:val="40"/>
          <w:highlight w:val="none"/>
        </w:rPr>
      </w:pPr>
      <w:bookmarkStart w:id="4" w:name="_Toc17549"/>
      <w:bookmarkStart w:id="5" w:name="_Toc4003"/>
      <w:bookmarkStart w:id="6" w:name="_Toc12449"/>
      <w:bookmarkStart w:id="7" w:name="_Toc439699516"/>
      <w:r>
        <w:rPr>
          <w:rFonts w:hint="eastAsia" w:ascii="黑体" w:hAnsi="黑体" w:eastAsia="黑体" w:cs="黑体"/>
          <w:color w:val="auto"/>
          <w:spacing w:val="2"/>
          <w:sz w:val="40"/>
          <w:szCs w:val="40"/>
          <w:highlight w:val="none"/>
        </w:rPr>
        <w:t>承诺函</w:t>
      </w:r>
    </w:p>
    <w:p>
      <w:pPr>
        <w:pStyle w:val="6"/>
        <w:rPr>
          <w:rFonts w:hint="eastAsia" w:ascii="黑体" w:hAnsi="黑体" w:eastAsia="黑体" w:cs="黑体"/>
          <w:color w:val="auto"/>
          <w:sz w:val="28"/>
          <w:szCs w:val="28"/>
          <w:highlight w:val="none"/>
        </w:rPr>
      </w:pPr>
    </w:p>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rPr>
        <w:t>乐山市</w:t>
      </w:r>
      <w:r>
        <w:rPr>
          <w:rFonts w:hint="eastAsia" w:ascii="仿宋" w:hAnsi="仿宋" w:eastAsia="仿宋" w:cs="仿宋"/>
          <w:color w:val="auto"/>
          <w:spacing w:val="2"/>
          <w:sz w:val="32"/>
          <w:szCs w:val="32"/>
          <w:highlight w:val="none"/>
          <w:lang w:eastAsia="zh-CN"/>
        </w:rPr>
        <w:t>五通桥区人民医院：</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我方作为本次采购项目的供应商，根据供应商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文件要求，现郑重承诺如下：</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一、具备本项目规定的条件</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1.</w:t>
      </w:r>
      <w:r>
        <w:rPr>
          <w:rFonts w:hint="eastAsia" w:ascii="仿宋" w:hAnsi="仿宋" w:eastAsia="仿宋" w:cs="仿宋"/>
          <w:color w:val="auto"/>
          <w:spacing w:val="2"/>
          <w:sz w:val="32"/>
          <w:szCs w:val="32"/>
          <w:highlight w:val="none"/>
        </w:rPr>
        <w:t>具有独立承担民事责任的能力；</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2.</w:t>
      </w:r>
      <w:r>
        <w:rPr>
          <w:rFonts w:hint="eastAsia" w:ascii="仿宋" w:hAnsi="仿宋" w:eastAsia="仿宋" w:cs="仿宋"/>
          <w:color w:val="auto"/>
          <w:spacing w:val="2"/>
          <w:sz w:val="32"/>
          <w:szCs w:val="32"/>
          <w:highlight w:val="none"/>
        </w:rPr>
        <w:t>具有良好的商业信誉和健全的财务会计制度；</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3.</w:t>
      </w:r>
      <w:r>
        <w:rPr>
          <w:rFonts w:hint="eastAsia" w:ascii="仿宋" w:hAnsi="仿宋" w:eastAsia="仿宋" w:cs="仿宋"/>
          <w:color w:val="auto"/>
          <w:spacing w:val="2"/>
          <w:sz w:val="32"/>
          <w:szCs w:val="32"/>
          <w:highlight w:val="none"/>
        </w:rPr>
        <w:t>具有履行合同所必须的设备和专业技术能力；</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4.</w:t>
      </w:r>
      <w:r>
        <w:rPr>
          <w:rFonts w:hint="eastAsia" w:ascii="仿宋" w:hAnsi="仿宋" w:eastAsia="仿宋" w:cs="仿宋"/>
          <w:color w:val="auto"/>
          <w:spacing w:val="2"/>
          <w:sz w:val="32"/>
          <w:szCs w:val="32"/>
          <w:highlight w:val="none"/>
        </w:rPr>
        <w:t>具有依法缴纳税收和社会保障资金的良好记录；</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5.</w:t>
      </w:r>
      <w:r>
        <w:rPr>
          <w:rFonts w:hint="eastAsia" w:ascii="仿宋" w:hAnsi="仿宋" w:eastAsia="仿宋" w:cs="仿宋"/>
          <w:color w:val="auto"/>
          <w:spacing w:val="2"/>
          <w:sz w:val="32"/>
          <w:szCs w:val="32"/>
          <w:highlight w:val="none"/>
        </w:rPr>
        <w:t>参加本次供应商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活动前三年内，在经营活动中没有重大违法记录；</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6.</w:t>
      </w:r>
      <w:r>
        <w:rPr>
          <w:rFonts w:hint="eastAsia" w:ascii="仿宋" w:hAnsi="仿宋" w:eastAsia="仿宋" w:cs="仿宋"/>
          <w:color w:val="auto"/>
          <w:spacing w:val="2"/>
          <w:sz w:val="32"/>
          <w:szCs w:val="32"/>
          <w:highlight w:val="none"/>
        </w:rPr>
        <w:t>法律、行政法规规定的其他条件；</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二、我方完全接受本项目供应商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文件中规定的要求，如对供应商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文件有异议，已经在供应商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截止时间届满前依法进行维权，不存在对供应商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文件有异议的同时又参加</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活动以求侥幸成交或者为实现其他非法目的的行为。</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三、我方完全接受并认可本项目供应商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文件中规定的要求，并通过我方的响应文件对供应商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文件的规定要求做出了全面的积极响应，如因我方提供的响应没有完全达到或符合本项目供应商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文件的规定要求，评审小组、本项目采购人等单位或组织按国家法律法规及供应商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文件的规定要求做出的认定、处置行为，我方完全同意。</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四、我方完全尊重并认可本项目供应商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文件中规定并赋予本项目采购人“自主采取公平、择优的方式选择”的权利，对本项目采购人选择的结果完全认同并无异议。</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五、参加本次供应商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活动，不存在与单位负责人为同一人或者存在直接控股、管理关系的其他供应商参与同一合同项下的供应商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活动的行为。</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六、参加本次供应商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活动，不存在和其他供应商在同一合同项下的供应商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项目中，同时委托同一个自然人、同一家庭的人员、同一单位的人员作为代理人的行为。</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eastAsia="zh-CN"/>
        </w:rPr>
        <w:t>七</w:t>
      </w:r>
      <w:r>
        <w:rPr>
          <w:rFonts w:hint="eastAsia" w:ascii="仿宋" w:hAnsi="仿宋" w:eastAsia="仿宋" w:cs="仿宋"/>
          <w:color w:val="auto"/>
          <w:spacing w:val="2"/>
          <w:sz w:val="32"/>
          <w:szCs w:val="32"/>
          <w:highlight w:val="none"/>
        </w:rPr>
        <w:t>、供应商响应文件中提供的技术、服务、商务等响应承诺情况都是真实的、有效的、合法的。</w:t>
      </w:r>
    </w:p>
    <w:p>
      <w:pPr>
        <w:pStyle w:val="6"/>
        <w:spacing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pacing w:val="2"/>
          <w:sz w:val="32"/>
          <w:szCs w:val="32"/>
          <w:highlight w:val="none"/>
          <w:lang w:val="en-US" w:eastAsia="zh-CN"/>
        </w:rPr>
        <w:t xml:space="preserve">    八、</w:t>
      </w:r>
      <w:r>
        <w:rPr>
          <w:rFonts w:hint="eastAsia" w:ascii="仿宋" w:hAnsi="仿宋" w:eastAsia="仿宋" w:cs="仿宋"/>
          <w:color w:val="auto"/>
          <w:spacing w:val="2"/>
          <w:kern w:val="2"/>
          <w:sz w:val="32"/>
          <w:szCs w:val="32"/>
          <w:highlight w:val="none"/>
          <w:lang w:val="en-US" w:eastAsia="zh-CN" w:bidi="ar-SA"/>
        </w:rPr>
        <w:t>如本项目采购过程中需要提供样品，则我公司提供的样品即为成交后将要提供的成交产品，我公司对提供样品的性能和质量负责，因样品存在缺陷或者不符合谈判文件要求导致未能成交的，我公司愿意承担相应不利后果。</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本公司对上述承诺的内容事项真实性负责。如经查实上述承诺的内容事项存在虚假，我公司愿意接受以提供虚假材料谋取成交追究法律责任。</w:t>
      </w:r>
    </w:p>
    <w:p>
      <w:pPr>
        <w:pStyle w:val="30"/>
        <w:rPr>
          <w:rFonts w:hint="eastAsia" w:ascii="仿宋" w:hAnsi="仿宋" w:eastAsia="仿宋" w:cs="仿宋"/>
          <w:color w:val="auto"/>
          <w:sz w:val="32"/>
          <w:szCs w:val="32"/>
          <w:highlight w:val="none"/>
        </w:rPr>
      </w:pPr>
    </w:p>
    <w:p>
      <w:pPr>
        <w:rPr>
          <w:rFonts w:hint="eastAsia"/>
          <w:color w:val="auto"/>
          <w:highlight w:val="none"/>
        </w:rPr>
      </w:pPr>
    </w:p>
    <w:p>
      <w:pPr>
        <w:snapToGrid w:val="0"/>
        <w:spacing w:line="360" w:lineRule="auto"/>
        <w:ind w:firstLine="2916" w:firstLineChars="900"/>
        <w:contextualSpacing/>
        <w:jc w:val="right"/>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供应商名称（单位公章）：XXXX</w:t>
      </w:r>
    </w:p>
    <w:p>
      <w:pPr>
        <w:snapToGrid w:val="0"/>
        <w:spacing w:line="360" w:lineRule="auto"/>
        <w:contextualSpacing/>
        <w:jc w:val="right"/>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法定代表人或授权代表（签字或加盖个人名章）：XXXX</w:t>
      </w:r>
    </w:p>
    <w:p>
      <w:pPr>
        <w:snapToGrid w:val="0"/>
        <w:spacing w:line="360" w:lineRule="auto"/>
        <w:ind w:firstLine="2916" w:firstLineChars="900"/>
        <w:contextualSpacing/>
        <w:jc w:val="right"/>
        <w:rPr>
          <w:rFonts w:hint="eastAsia" w:ascii="黑体" w:hAnsi="黑体" w:eastAsia="黑体" w:cs="黑体"/>
          <w:color w:val="auto"/>
          <w:spacing w:val="2"/>
          <w:sz w:val="28"/>
          <w:szCs w:val="28"/>
          <w:highlight w:val="none"/>
        </w:rPr>
      </w:pPr>
      <w:r>
        <w:rPr>
          <w:rFonts w:hint="eastAsia" w:ascii="仿宋" w:hAnsi="仿宋" w:eastAsia="仿宋" w:cs="仿宋"/>
          <w:color w:val="auto"/>
          <w:spacing w:val="2"/>
          <w:sz w:val="32"/>
          <w:szCs w:val="32"/>
          <w:highlight w:val="none"/>
        </w:rPr>
        <w:t>日期：</w:t>
      </w:r>
      <w:r>
        <w:rPr>
          <w:rFonts w:hint="eastAsia" w:ascii="仿宋" w:hAnsi="仿宋" w:eastAsia="仿宋" w:cs="仿宋"/>
          <w:color w:val="auto"/>
          <w:kern w:val="2"/>
          <w:sz w:val="32"/>
          <w:szCs w:val="32"/>
          <w:highlight w:val="none"/>
        </w:rPr>
        <w:t>202</w:t>
      </w:r>
      <w:r>
        <w:rPr>
          <w:rFonts w:hint="eastAsia" w:ascii="仿宋" w:hAnsi="仿宋" w:eastAsia="仿宋" w:cs="仿宋"/>
          <w:color w:val="auto"/>
          <w:kern w:val="2"/>
          <w:sz w:val="32"/>
          <w:szCs w:val="32"/>
          <w:highlight w:val="none"/>
          <w:lang w:val="en-US" w:eastAsia="zh-CN"/>
        </w:rPr>
        <w:t>6</w:t>
      </w:r>
      <w:r>
        <w:rPr>
          <w:rFonts w:hint="eastAsia" w:ascii="仿宋" w:hAnsi="仿宋" w:eastAsia="仿宋" w:cs="仿宋"/>
          <w:color w:val="auto"/>
          <w:kern w:val="2"/>
          <w:sz w:val="32"/>
          <w:szCs w:val="32"/>
          <w:highlight w:val="none"/>
        </w:rPr>
        <w:t>年  月  日</w:t>
      </w:r>
    </w:p>
    <w:p>
      <w:pPr>
        <w:pStyle w:val="6"/>
        <w:adjustRightInd w:val="0"/>
        <w:snapToGrid w:val="0"/>
        <w:spacing w:after="0" w:line="360" w:lineRule="auto"/>
        <w:ind w:firstLine="560" w:firstLineChars="200"/>
        <w:rPr>
          <w:rFonts w:hint="eastAsia" w:ascii="黑体" w:hAnsi="黑体" w:eastAsia="黑体" w:cs="黑体"/>
          <w:color w:val="auto"/>
          <w:sz w:val="28"/>
          <w:szCs w:val="28"/>
          <w:highlight w:val="none"/>
          <w:lang w:eastAsia="zh-CN"/>
        </w:rPr>
      </w:pPr>
    </w:p>
    <w:p>
      <w:pPr>
        <w:pStyle w:val="6"/>
        <w:adjustRightInd w:val="0"/>
        <w:snapToGrid w:val="0"/>
        <w:spacing w:after="0" w:line="360" w:lineRule="auto"/>
        <w:ind w:firstLine="560" w:firstLineChars="200"/>
        <w:rPr>
          <w:rFonts w:hint="eastAsia" w:ascii="黑体" w:hAnsi="黑体" w:eastAsia="黑体" w:cs="黑体"/>
          <w:color w:val="auto"/>
          <w:sz w:val="28"/>
          <w:szCs w:val="28"/>
          <w:highlight w:val="none"/>
          <w:lang w:eastAsia="zh-CN"/>
        </w:rPr>
      </w:pPr>
    </w:p>
    <w:bookmarkEnd w:id="4"/>
    <w:bookmarkEnd w:id="5"/>
    <w:bookmarkEnd w:id="6"/>
    <w:bookmarkEnd w:id="7"/>
    <w:p>
      <w:pPr>
        <w:spacing w:beforeLines="100" w:afterLines="200" w:line="320" w:lineRule="exact"/>
        <w:jc w:val="center"/>
        <w:rPr>
          <w:rFonts w:hint="eastAsia" w:ascii="黑体" w:hAnsi="黑体" w:eastAsia="黑体" w:cs="黑体"/>
          <w:color w:val="auto"/>
          <w:sz w:val="40"/>
          <w:szCs w:val="40"/>
          <w:highlight w:val="none"/>
        </w:rPr>
      </w:pPr>
      <w:bookmarkStart w:id="8" w:name="_Toc1287"/>
      <w:bookmarkStart w:id="9" w:name="_Toc199"/>
      <w:bookmarkStart w:id="10" w:name="_Toc16184"/>
      <w:bookmarkStart w:id="11" w:name="_Toc12426"/>
      <w:bookmarkStart w:id="12" w:name="_Toc24199"/>
      <w:bookmarkStart w:id="13" w:name="_Toc1800"/>
      <w:bookmarkStart w:id="14" w:name="_Toc439699522"/>
      <w:r>
        <w:rPr>
          <w:rFonts w:hint="eastAsia" w:ascii="黑体" w:hAnsi="黑体" w:eastAsia="黑体" w:cs="黑体"/>
          <w:color w:val="auto"/>
          <w:highlight w:val="none"/>
        </w:rPr>
        <w:br w:type="page"/>
      </w:r>
      <w:bookmarkEnd w:id="8"/>
      <w:bookmarkEnd w:id="9"/>
      <w:bookmarkEnd w:id="10"/>
      <w:bookmarkEnd w:id="11"/>
      <w:bookmarkEnd w:id="12"/>
      <w:bookmarkEnd w:id="13"/>
      <w:bookmarkEnd w:id="14"/>
      <w:r>
        <w:rPr>
          <w:rFonts w:hint="eastAsia" w:ascii="黑体" w:hAnsi="黑体" w:eastAsia="黑体" w:cs="黑体"/>
          <w:color w:val="auto"/>
          <w:sz w:val="40"/>
          <w:szCs w:val="40"/>
          <w:highlight w:val="none"/>
        </w:rPr>
        <w:t>购销廉洁、诚信承诺书</w:t>
      </w:r>
    </w:p>
    <w:p>
      <w:pPr>
        <w:pStyle w:val="28"/>
        <w:spacing w:line="240" w:lineRule="auto"/>
        <w:ind w:left="0" w:leftChars="0" w:firstLine="0" w:firstLineChars="0"/>
        <w:rPr>
          <w:rFonts w:hint="eastAsia" w:ascii="仿宋" w:hAnsi="仿宋" w:eastAsia="仿宋" w:cs="仿宋"/>
          <w:color w:val="auto"/>
          <w:sz w:val="32"/>
          <w:szCs w:val="32"/>
          <w:highlight w:val="none"/>
        </w:rPr>
      </w:pPr>
      <w:bookmarkStart w:id="15" w:name="_Toc5468"/>
      <w:r>
        <w:rPr>
          <w:rFonts w:hint="eastAsia" w:ascii="仿宋" w:hAnsi="仿宋" w:eastAsia="仿宋" w:cs="仿宋"/>
          <w:color w:val="auto"/>
          <w:sz w:val="32"/>
          <w:szCs w:val="32"/>
          <w:highlight w:val="none"/>
        </w:rPr>
        <w:t>乐山市</w:t>
      </w:r>
      <w:r>
        <w:rPr>
          <w:rFonts w:hint="eastAsia" w:ascii="仿宋" w:hAnsi="仿宋" w:eastAsia="仿宋" w:cs="仿宋"/>
          <w:color w:val="auto"/>
          <w:sz w:val="32"/>
          <w:szCs w:val="32"/>
          <w:highlight w:val="none"/>
          <w:lang w:eastAsia="zh-CN"/>
        </w:rPr>
        <w:t>五通桥区</w:t>
      </w:r>
      <w:r>
        <w:rPr>
          <w:rFonts w:hint="eastAsia" w:ascii="仿宋" w:hAnsi="仿宋" w:eastAsia="仿宋" w:cs="仿宋"/>
          <w:color w:val="auto"/>
          <w:sz w:val="32"/>
          <w:szCs w:val="32"/>
          <w:highlight w:val="none"/>
        </w:rPr>
        <w:t>人民医院：</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为进一步加强医疗卫生行风建设，规范医疗卫生机构购销行为，有效防范商业贿赂行为，营造公平交易、诚实守信的购销环境，我公司特作出以下承诺，并严格遵守：</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一、本公司严格按照《</w:t>
      </w:r>
      <w:r>
        <w:rPr>
          <w:rFonts w:hint="eastAsia" w:ascii="仿宋" w:hAnsi="仿宋" w:eastAsia="仿宋" w:cs="仿宋"/>
          <w:color w:val="auto"/>
          <w:sz w:val="32"/>
          <w:szCs w:val="32"/>
          <w:highlight w:val="none"/>
          <w:lang w:eastAsia="zh-CN"/>
        </w:rPr>
        <w:t>民法典</w:t>
      </w:r>
      <w:r>
        <w:rPr>
          <w:rFonts w:hint="eastAsia" w:ascii="仿宋" w:hAnsi="仿宋" w:eastAsia="仿宋" w:cs="仿宋"/>
          <w:color w:val="auto"/>
          <w:sz w:val="32"/>
          <w:szCs w:val="32"/>
          <w:highlight w:val="none"/>
        </w:rPr>
        <w:t>》及购销合同约定购销相关产品。</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本公司不得以任何名义和形式的回扣、宴请等方式影响医院工作人员采购或使用产品的选择权，不得向医院工作人员安排娱乐活动，以及提供现金、有价证券、支付凭证和贵重礼品，不得在学术活动中提供旅游、超标准支付食宿费用。</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三、本公司指定              （联系电话：          ）作为销售代表洽谈业务。销售代表严格在工作时间到医院指定地点联系商谈，不得到住院部、门诊部、医技科室等推销相关产品，不得借故到医院相关领导、部门负责人及相关工作人员家中访谈并提供任何好处费。</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本公司在参加甲方组织的采购活动中，坚持公开、公平、公正和诚实信用的原则，按照医院对经销商资质管理规定和报价要求，备齐所需资料，并保证投标（报价）文件中所提供的全部材料真实、有效和合法，不伪造、变造所提供的相关价格依据（如公司向省内上级或同级医院的销售发票、应税劳务清单、购销合同、公司进货发票复印件以及其它有效价格证明等），不提供虚假信息，不以弄虚作假的方式骗取中标或成交资格。</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五、本公司如违反本承诺，愿意接受医院相关处罚规定。</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供应商或厂家名称：        （盖章）</w:t>
      </w:r>
    </w:p>
    <w:p>
      <w:pPr>
        <w:pStyle w:val="28"/>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法定代表人或授权代表（签字）：</w:t>
      </w:r>
    </w:p>
    <w:p>
      <w:pPr>
        <w:pStyle w:val="28"/>
        <w:spacing w:line="240" w:lineRule="auto"/>
        <w:ind w:firstLine="0"/>
        <w:rPr>
          <w:rFonts w:hint="eastAsia" w:ascii="仿宋" w:hAnsi="仿宋" w:eastAsia="仿宋" w:cs="仿宋"/>
          <w:color w:val="auto"/>
          <w:sz w:val="32"/>
          <w:szCs w:val="32"/>
          <w:highlight w:val="none"/>
        </w:rPr>
      </w:pPr>
    </w:p>
    <w:p>
      <w:pPr>
        <w:pStyle w:val="28"/>
        <w:spacing w:line="240" w:lineRule="auto"/>
        <w:ind w:firstLine="0"/>
        <w:rPr>
          <w:rFonts w:hint="eastAsia" w:ascii="仿宋" w:hAnsi="仿宋" w:eastAsia="仿宋" w:cs="仿宋"/>
          <w:color w:val="auto"/>
          <w:sz w:val="32"/>
          <w:szCs w:val="32"/>
          <w:highlight w:val="none"/>
        </w:rPr>
      </w:pPr>
    </w:p>
    <w:p>
      <w:pPr>
        <w:autoSpaceDN w:val="0"/>
        <w:spacing w:line="240" w:lineRule="auto"/>
        <w:ind w:firstLine="640" w:firstLineChars="200"/>
        <w:jc w:val="right"/>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日期：202</w:t>
      </w:r>
      <w:r>
        <w:rPr>
          <w:rFonts w:hint="eastAsia" w:ascii="仿宋" w:hAnsi="仿宋" w:eastAsia="仿宋" w:cs="仿宋"/>
          <w:color w:val="auto"/>
          <w:kern w:val="2"/>
          <w:sz w:val="32"/>
          <w:szCs w:val="32"/>
          <w:highlight w:val="none"/>
          <w:lang w:val="en-US" w:eastAsia="zh-CN"/>
        </w:rPr>
        <w:t>6</w:t>
      </w:r>
      <w:r>
        <w:rPr>
          <w:rFonts w:hint="eastAsia" w:ascii="仿宋" w:hAnsi="仿宋" w:eastAsia="仿宋" w:cs="仿宋"/>
          <w:color w:val="auto"/>
          <w:kern w:val="2"/>
          <w:sz w:val="32"/>
          <w:szCs w:val="32"/>
          <w:highlight w:val="none"/>
        </w:rPr>
        <w:t>年  月  日</w:t>
      </w:r>
      <w:bookmarkEnd w:id="15"/>
    </w:p>
    <w:p>
      <w:pPr>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br w:type="page"/>
      </w:r>
    </w:p>
    <w:p>
      <w:pPr>
        <w:numPr>
          <w:ilvl w:val="0"/>
          <w:numId w:val="2"/>
        </w:numPr>
        <w:jc w:val="center"/>
        <w:rPr>
          <w:rFonts w:hint="eastAsia" w:ascii="黑体" w:hAnsi="黑体" w:eastAsia="黑体" w:cs="黑体"/>
          <w:b/>
          <w:color w:val="auto"/>
          <w:sz w:val="36"/>
          <w:szCs w:val="36"/>
          <w:highlight w:val="none"/>
          <w:lang w:val="en-US" w:eastAsia="zh-CN"/>
        </w:rPr>
      </w:pPr>
      <w:r>
        <w:rPr>
          <w:rFonts w:hint="eastAsia" w:ascii="黑体" w:hAnsi="黑体" w:eastAsia="黑体" w:cs="黑体"/>
          <w:b/>
          <w:color w:val="auto"/>
          <w:sz w:val="36"/>
          <w:szCs w:val="36"/>
          <w:highlight w:val="none"/>
          <w:lang w:val="en-US" w:eastAsia="zh-CN"/>
        </w:rPr>
        <w:t>采购资质要求</w:t>
      </w:r>
    </w:p>
    <w:p>
      <w:pPr>
        <w:pStyle w:val="6"/>
        <w:rPr>
          <w:rFonts w:hint="eastAsia" w:ascii="黑体" w:hAnsi="黑体" w:eastAsia="黑体" w:cs="黑体"/>
          <w:b/>
          <w:color w:val="auto"/>
          <w:sz w:val="36"/>
          <w:szCs w:val="36"/>
          <w:highlight w:val="none"/>
          <w:lang w:val="en-US" w:eastAsia="zh-CN"/>
        </w:rPr>
      </w:pPr>
    </w:p>
    <w:p>
      <w:pPr>
        <w:numPr>
          <w:ilvl w:val="0"/>
          <w:numId w:val="0"/>
        </w:numPr>
        <w:ind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资格性文件：供应商应当提供的资格要求的相关证明材料</w:t>
      </w:r>
      <w:r>
        <w:rPr>
          <w:rFonts w:hint="eastAsia" w:ascii="仿宋" w:hAnsi="仿宋" w:eastAsia="仿宋" w:cs="仿宋"/>
          <w:color w:val="auto"/>
          <w:sz w:val="32"/>
          <w:szCs w:val="32"/>
          <w:highlight w:val="none"/>
          <w:lang w:eastAsia="zh-CN"/>
        </w:rPr>
        <w:t>（缺少一项投标无效处理）</w:t>
      </w:r>
    </w:p>
    <w:tbl>
      <w:tblPr>
        <w:tblStyle w:val="21"/>
        <w:tblpPr w:leftFromText="180" w:rightFromText="180" w:vertAnchor="text" w:horzAnchor="page" w:tblpX="1286" w:tblpY="371"/>
        <w:tblOverlap w:val="never"/>
        <w:tblW w:w="89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5807"/>
        <w:gridCol w:w="91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4" w:hRule="atLeast"/>
          <w:jc w:val="center"/>
        </w:trPr>
        <w:tc>
          <w:tcPr>
            <w:tcW w:w="69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序号</w:t>
            </w:r>
          </w:p>
        </w:tc>
        <w:tc>
          <w:tcPr>
            <w:tcW w:w="580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审查项目</w:t>
            </w:r>
          </w:p>
        </w:tc>
        <w:tc>
          <w:tcPr>
            <w:tcW w:w="916"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合格条件</w:t>
            </w:r>
          </w:p>
        </w:tc>
        <w:tc>
          <w:tcPr>
            <w:tcW w:w="149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8" w:hRule="atLeast"/>
          <w:jc w:val="center"/>
        </w:trPr>
        <w:tc>
          <w:tcPr>
            <w:tcW w:w="69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1</w:t>
            </w:r>
          </w:p>
        </w:tc>
        <w:tc>
          <w:tcPr>
            <w:tcW w:w="5807"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三证（营业执照、税务登记证、组织机构代码证）副本；三证合一的只须提供营业执照副本；事业单位、社会团体提供法人登记证书复印件</w:t>
            </w:r>
          </w:p>
        </w:tc>
        <w:tc>
          <w:tcPr>
            <w:tcW w:w="916"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有效</w:t>
            </w:r>
          </w:p>
        </w:tc>
        <w:tc>
          <w:tcPr>
            <w:tcW w:w="149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jc w:val="center"/>
        </w:trPr>
        <w:tc>
          <w:tcPr>
            <w:tcW w:w="69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2</w:t>
            </w:r>
          </w:p>
        </w:tc>
        <w:tc>
          <w:tcPr>
            <w:tcW w:w="5807"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提供承诺，购销廉洁、诚信承</w:t>
            </w:r>
            <w:r>
              <w:rPr>
                <w:rFonts w:hint="eastAsia" w:ascii="仿宋" w:hAnsi="仿宋" w:eastAsia="仿宋" w:cs="仿宋"/>
                <w:color w:val="auto"/>
                <w:spacing w:val="2"/>
                <w:sz w:val="32"/>
                <w:szCs w:val="32"/>
                <w:highlight w:val="none"/>
                <w:lang w:val="en-US" w:eastAsia="zh-CN"/>
              </w:rPr>
              <w:t xml:space="preserve"> </w:t>
            </w:r>
            <w:r>
              <w:rPr>
                <w:rFonts w:hint="eastAsia" w:ascii="仿宋" w:hAnsi="仿宋" w:eastAsia="仿宋" w:cs="仿宋"/>
                <w:color w:val="auto"/>
                <w:spacing w:val="2"/>
                <w:sz w:val="32"/>
                <w:szCs w:val="32"/>
                <w:highlight w:val="none"/>
                <w:lang w:eastAsia="zh-CN"/>
              </w:rPr>
              <w:t>诺书</w:t>
            </w:r>
          </w:p>
        </w:tc>
        <w:tc>
          <w:tcPr>
            <w:tcW w:w="916"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有效</w:t>
            </w:r>
          </w:p>
        </w:tc>
        <w:tc>
          <w:tcPr>
            <w:tcW w:w="149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val="en-US" w:eastAsia="zh-CN"/>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1" w:hRule="atLeast"/>
          <w:jc w:val="center"/>
        </w:trPr>
        <w:tc>
          <w:tcPr>
            <w:tcW w:w="69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3</w:t>
            </w:r>
          </w:p>
        </w:tc>
        <w:tc>
          <w:tcPr>
            <w:tcW w:w="5807" w:type="dxa"/>
            <w:shd w:val="clear" w:color="auto" w:fill="auto"/>
            <w:noWrap w:val="0"/>
            <w:vAlign w:val="center"/>
          </w:tcPr>
          <w:p>
            <w:pPr>
              <w:snapToGrid w:val="0"/>
              <w:spacing w:line="240" w:lineRule="auto"/>
              <w:contextualSpacing/>
              <w:jc w:val="left"/>
              <w:rPr>
                <w:rFonts w:hint="eastAsia" w:ascii="仿宋" w:hAnsi="仿宋" w:eastAsia="仿宋" w:cs="仿宋"/>
                <w:color w:val="auto"/>
                <w:spacing w:val="2"/>
                <w:kern w:val="2"/>
                <w:sz w:val="32"/>
                <w:szCs w:val="32"/>
                <w:highlight w:val="none"/>
                <w:lang w:val="en-US" w:eastAsia="zh-CN" w:bidi="ar-SA"/>
              </w:rPr>
            </w:pPr>
            <w:r>
              <w:rPr>
                <w:rFonts w:hint="eastAsia" w:ascii="仿宋" w:hAnsi="仿宋" w:eastAsia="仿宋" w:cs="仿宋"/>
                <w:color w:val="auto"/>
                <w:spacing w:val="2"/>
                <w:sz w:val="32"/>
                <w:szCs w:val="32"/>
                <w:highlight w:val="none"/>
                <w:lang w:eastAsia="zh-CN"/>
              </w:rPr>
              <w:t>法定代表人授权委托书（法定代表人参与的须提供法定代表人证明书），法定代表人和授权代表的身份证</w:t>
            </w:r>
          </w:p>
        </w:tc>
        <w:tc>
          <w:tcPr>
            <w:tcW w:w="916" w:type="dxa"/>
            <w:shd w:val="clear" w:color="auto" w:fill="auto"/>
            <w:noWrap w:val="0"/>
            <w:vAlign w:val="center"/>
          </w:tcPr>
          <w:p>
            <w:pPr>
              <w:snapToGrid w:val="0"/>
              <w:spacing w:line="240" w:lineRule="auto"/>
              <w:contextualSpacing/>
              <w:jc w:val="center"/>
              <w:rPr>
                <w:rFonts w:hint="eastAsia" w:ascii="仿宋" w:hAnsi="仿宋" w:eastAsia="仿宋" w:cs="仿宋"/>
                <w:color w:val="auto"/>
                <w:spacing w:val="2"/>
                <w:kern w:val="2"/>
                <w:sz w:val="32"/>
                <w:szCs w:val="32"/>
                <w:highlight w:val="none"/>
                <w:lang w:val="en-US" w:eastAsia="zh-CN" w:bidi="ar-SA"/>
              </w:rPr>
            </w:pPr>
            <w:r>
              <w:rPr>
                <w:rFonts w:hint="eastAsia" w:ascii="仿宋" w:hAnsi="仿宋" w:eastAsia="仿宋" w:cs="仿宋"/>
                <w:color w:val="auto"/>
                <w:spacing w:val="2"/>
                <w:sz w:val="32"/>
                <w:szCs w:val="32"/>
                <w:highlight w:val="none"/>
                <w:lang w:eastAsia="zh-CN"/>
              </w:rPr>
              <w:t>有效</w:t>
            </w:r>
          </w:p>
        </w:tc>
        <w:tc>
          <w:tcPr>
            <w:tcW w:w="1497" w:type="dxa"/>
            <w:shd w:val="clear" w:color="auto" w:fill="auto"/>
            <w:noWrap w:val="0"/>
            <w:vAlign w:val="center"/>
          </w:tcPr>
          <w:p>
            <w:pPr>
              <w:snapToGrid w:val="0"/>
              <w:spacing w:line="240" w:lineRule="auto"/>
              <w:contextualSpacing/>
              <w:jc w:val="center"/>
              <w:rPr>
                <w:rFonts w:hint="eastAsia" w:ascii="仿宋" w:hAnsi="仿宋" w:eastAsia="仿宋" w:cs="仿宋"/>
                <w:color w:val="auto"/>
                <w:spacing w:val="2"/>
                <w:kern w:val="2"/>
                <w:sz w:val="32"/>
                <w:szCs w:val="32"/>
                <w:highlight w:val="none"/>
                <w:lang w:val="en-US" w:eastAsia="zh-CN" w:bidi="ar-SA"/>
              </w:rPr>
            </w:pPr>
            <w:r>
              <w:rPr>
                <w:rFonts w:hint="eastAsia" w:ascii="仿宋" w:hAnsi="仿宋" w:eastAsia="仿宋" w:cs="仿宋"/>
                <w:color w:val="auto"/>
                <w:spacing w:val="2"/>
                <w:sz w:val="32"/>
                <w:szCs w:val="32"/>
                <w:highlight w:val="none"/>
                <w:lang w:eastAsia="zh-CN"/>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97" w:type="dxa"/>
            <w:noWrap w:val="0"/>
            <w:vAlign w:val="center"/>
          </w:tcPr>
          <w:p>
            <w:pPr>
              <w:snapToGrid w:val="0"/>
              <w:spacing w:line="240" w:lineRule="auto"/>
              <w:contextualSpacing/>
              <w:jc w:val="center"/>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4</w:t>
            </w:r>
          </w:p>
        </w:tc>
        <w:tc>
          <w:tcPr>
            <w:tcW w:w="5807" w:type="dxa"/>
            <w:noWrap w:val="0"/>
            <w:vAlign w:val="center"/>
          </w:tcPr>
          <w:p>
            <w:pPr>
              <w:snapToGrid w:val="0"/>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000000"/>
                <w:spacing w:val="2"/>
                <w:sz w:val="32"/>
                <w:szCs w:val="32"/>
                <w:highlight w:val="none"/>
              </w:rPr>
              <w:t>供应商通过“信用中国”</w:t>
            </w:r>
            <w:r>
              <w:rPr>
                <w:rFonts w:hint="eastAsia" w:ascii="仿宋" w:hAnsi="仿宋" w:eastAsia="仿宋" w:cs="仿宋"/>
                <w:color w:val="000000"/>
                <w:spacing w:val="2"/>
                <w:sz w:val="32"/>
                <w:szCs w:val="32"/>
                <w:highlight w:val="none"/>
                <w:lang w:eastAsia="zh-CN"/>
              </w:rPr>
              <w:t>（</w:t>
            </w:r>
            <w:r>
              <w:rPr>
                <w:highlight w:val="none"/>
              </w:rPr>
              <w:fldChar w:fldCharType="begin"/>
            </w:r>
            <w:r>
              <w:rPr>
                <w:highlight w:val="none"/>
              </w:rPr>
              <w:instrText xml:space="preserve"> HYPERLINK "http://www.creditchina.gov.cn)" </w:instrText>
            </w:r>
            <w:r>
              <w:rPr>
                <w:highlight w:val="none"/>
              </w:rPr>
              <w:fldChar w:fldCharType="separate"/>
            </w:r>
            <w:r>
              <w:rPr>
                <w:rFonts w:hint="eastAsia" w:ascii="仿宋" w:hAnsi="仿宋" w:eastAsia="仿宋" w:cs="仿宋"/>
                <w:color w:val="000000"/>
                <w:spacing w:val="2"/>
                <w:sz w:val="32"/>
                <w:szCs w:val="32"/>
                <w:highlight w:val="none"/>
              </w:rPr>
              <w:t>www.creditchina.gov.cn</w:t>
            </w:r>
            <w:r>
              <w:rPr>
                <w:rFonts w:hint="eastAsia" w:ascii="仿宋" w:hAnsi="仿宋" w:eastAsia="仿宋" w:cs="仿宋"/>
                <w:color w:val="000000"/>
                <w:spacing w:val="2"/>
                <w:sz w:val="32"/>
                <w:szCs w:val="32"/>
                <w:highlight w:val="none"/>
                <w:lang w:eastAsia="zh-CN"/>
              </w:rPr>
              <w:t>）</w:t>
            </w:r>
            <w:r>
              <w:rPr>
                <w:rFonts w:hint="eastAsia" w:ascii="仿宋" w:hAnsi="仿宋" w:eastAsia="仿宋" w:cs="仿宋"/>
                <w:color w:val="000000"/>
                <w:spacing w:val="2"/>
                <w:sz w:val="32"/>
                <w:szCs w:val="32"/>
                <w:highlight w:val="none"/>
              </w:rPr>
              <w:fldChar w:fldCharType="end"/>
            </w:r>
            <w:r>
              <w:rPr>
                <w:rFonts w:hint="eastAsia" w:ascii="仿宋" w:hAnsi="仿宋" w:eastAsia="仿宋" w:cs="仿宋"/>
                <w:color w:val="000000"/>
                <w:spacing w:val="2"/>
                <w:sz w:val="32"/>
                <w:szCs w:val="32"/>
                <w:highlight w:val="none"/>
              </w:rPr>
              <w:t>、“中国政府采购网”</w:t>
            </w:r>
            <w:r>
              <w:rPr>
                <w:rFonts w:hint="eastAsia" w:ascii="仿宋" w:hAnsi="仿宋" w:eastAsia="仿宋" w:cs="仿宋"/>
                <w:color w:val="000000"/>
                <w:spacing w:val="2"/>
                <w:sz w:val="32"/>
                <w:szCs w:val="32"/>
                <w:highlight w:val="none"/>
                <w:lang w:eastAsia="zh-CN"/>
              </w:rPr>
              <w:t>（</w:t>
            </w:r>
            <w:r>
              <w:rPr>
                <w:rFonts w:hint="eastAsia" w:ascii="仿宋" w:hAnsi="仿宋" w:eastAsia="仿宋" w:cs="仿宋"/>
                <w:color w:val="000000"/>
                <w:spacing w:val="2"/>
                <w:sz w:val="32"/>
                <w:szCs w:val="32"/>
                <w:highlight w:val="none"/>
              </w:rPr>
              <w:t>www.ccgp.gov.cn</w:t>
            </w:r>
            <w:r>
              <w:rPr>
                <w:rFonts w:hint="eastAsia" w:ascii="仿宋" w:hAnsi="仿宋" w:eastAsia="仿宋" w:cs="仿宋"/>
                <w:color w:val="000000"/>
                <w:spacing w:val="2"/>
                <w:sz w:val="32"/>
                <w:szCs w:val="32"/>
                <w:highlight w:val="none"/>
                <w:lang w:eastAsia="zh-CN"/>
              </w:rPr>
              <w:t>）</w:t>
            </w:r>
            <w:r>
              <w:rPr>
                <w:rFonts w:hint="eastAsia" w:ascii="仿宋" w:hAnsi="仿宋" w:eastAsia="仿宋" w:cs="仿宋"/>
                <w:color w:val="000000"/>
                <w:spacing w:val="2"/>
                <w:sz w:val="32"/>
                <w:szCs w:val="32"/>
                <w:highlight w:val="none"/>
              </w:rPr>
              <w:t>网站查询公告发布之日起前三年的信用记录，无不良记录</w:t>
            </w:r>
          </w:p>
        </w:tc>
        <w:tc>
          <w:tcPr>
            <w:tcW w:w="916" w:type="dxa"/>
            <w:noWrap w:val="0"/>
            <w:vAlign w:val="center"/>
          </w:tcPr>
          <w:p>
            <w:pPr>
              <w:snapToGrid w:val="0"/>
              <w:contextualSpacing/>
              <w:jc w:val="center"/>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000000"/>
                <w:spacing w:val="2"/>
                <w:sz w:val="32"/>
                <w:szCs w:val="32"/>
                <w:highlight w:val="none"/>
              </w:rPr>
              <w:t>有效</w:t>
            </w:r>
          </w:p>
        </w:tc>
        <w:tc>
          <w:tcPr>
            <w:tcW w:w="1497" w:type="dxa"/>
            <w:noWrap w:val="0"/>
            <w:vAlign w:val="center"/>
          </w:tcPr>
          <w:p>
            <w:pPr>
              <w:snapToGrid w:val="0"/>
              <w:contextualSpacing/>
              <w:jc w:val="center"/>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000000"/>
                <w:spacing w:val="2"/>
                <w:sz w:val="32"/>
                <w:szCs w:val="32"/>
                <w:highlight w:val="none"/>
              </w:rPr>
              <w:t>网页截图盖公章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9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val="en-US" w:eastAsia="zh-CN"/>
              </w:rPr>
            </w:pPr>
          </w:p>
        </w:tc>
        <w:tc>
          <w:tcPr>
            <w:tcW w:w="5807" w:type="dxa"/>
            <w:noWrap w:val="0"/>
            <w:vAlign w:val="center"/>
          </w:tcPr>
          <w:p>
            <w:pPr>
              <w:snapToGrid w:val="0"/>
              <w:contextualSpacing/>
              <w:jc w:val="left"/>
              <w:rPr>
                <w:rFonts w:hint="eastAsia" w:ascii="仿宋" w:hAnsi="仿宋" w:eastAsia="仿宋" w:cs="仿宋"/>
                <w:color w:val="000000"/>
                <w:spacing w:val="2"/>
                <w:sz w:val="32"/>
                <w:szCs w:val="32"/>
                <w:highlight w:val="none"/>
              </w:rPr>
            </w:pPr>
          </w:p>
        </w:tc>
        <w:tc>
          <w:tcPr>
            <w:tcW w:w="916" w:type="dxa"/>
            <w:noWrap w:val="0"/>
            <w:vAlign w:val="center"/>
          </w:tcPr>
          <w:p>
            <w:pPr>
              <w:snapToGrid w:val="0"/>
              <w:contextualSpacing/>
              <w:jc w:val="center"/>
              <w:rPr>
                <w:rFonts w:hint="eastAsia" w:ascii="仿宋" w:hAnsi="仿宋" w:eastAsia="仿宋" w:cs="仿宋"/>
                <w:color w:val="000000"/>
                <w:spacing w:val="2"/>
                <w:sz w:val="32"/>
                <w:szCs w:val="32"/>
                <w:highlight w:val="none"/>
              </w:rPr>
            </w:pPr>
          </w:p>
        </w:tc>
        <w:tc>
          <w:tcPr>
            <w:tcW w:w="1497" w:type="dxa"/>
            <w:noWrap w:val="0"/>
            <w:vAlign w:val="center"/>
          </w:tcPr>
          <w:p>
            <w:pPr>
              <w:snapToGrid w:val="0"/>
              <w:contextualSpacing/>
              <w:jc w:val="center"/>
              <w:rPr>
                <w:rFonts w:hint="eastAsia" w:ascii="仿宋" w:hAnsi="仿宋" w:eastAsia="仿宋" w:cs="仿宋"/>
                <w:color w:val="000000"/>
                <w:spacing w:val="2"/>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97" w:type="dxa"/>
            <w:noWrap w:val="0"/>
            <w:vAlign w:val="center"/>
          </w:tcPr>
          <w:p>
            <w:pPr>
              <w:snapToGrid w:val="0"/>
              <w:spacing w:line="240" w:lineRule="auto"/>
              <w:contextualSpacing/>
              <w:jc w:val="center"/>
              <w:rPr>
                <w:rFonts w:hint="eastAsia" w:ascii="仿宋" w:hAnsi="仿宋" w:eastAsia="仿宋" w:cs="仿宋"/>
                <w:color w:val="auto"/>
                <w:spacing w:val="2"/>
                <w:sz w:val="32"/>
                <w:szCs w:val="32"/>
                <w:highlight w:val="none"/>
                <w:lang w:val="en-US" w:eastAsia="zh-CN"/>
              </w:rPr>
            </w:pPr>
          </w:p>
        </w:tc>
        <w:tc>
          <w:tcPr>
            <w:tcW w:w="5807" w:type="dxa"/>
            <w:noWrap w:val="0"/>
            <w:vAlign w:val="center"/>
          </w:tcPr>
          <w:p>
            <w:pPr>
              <w:snapToGrid w:val="0"/>
              <w:contextualSpacing/>
              <w:jc w:val="left"/>
              <w:rPr>
                <w:rFonts w:hint="eastAsia" w:ascii="仿宋" w:hAnsi="仿宋" w:eastAsia="仿宋" w:cs="仿宋"/>
                <w:color w:val="000000"/>
                <w:spacing w:val="2"/>
                <w:sz w:val="32"/>
                <w:szCs w:val="32"/>
                <w:highlight w:val="none"/>
              </w:rPr>
            </w:pPr>
          </w:p>
        </w:tc>
        <w:tc>
          <w:tcPr>
            <w:tcW w:w="916" w:type="dxa"/>
            <w:noWrap w:val="0"/>
            <w:vAlign w:val="center"/>
          </w:tcPr>
          <w:p>
            <w:pPr>
              <w:snapToGrid w:val="0"/>
              <w:contextualSpacing/>
              <w:jc w:val="center"/>
              <w:rPr>
                <w:rFonts w:hint="eastAsia" w:ascii="仿宋" w:hAnsi="仿宋" w:eastAsia="仿宋" w:cs="仿宋"/>
                <w:color w:val="000000"/>
                <w:spacing w:val="2"/>
                <w:sz w:val="32"/>
                <w:szCs w:val="32"/>
                <w:highlight w:val="none"/>
              </w:rPr>
            </w:pPr>
          </w:p>
        </w:tc>
        <w:tc>
          <w:tcPr>
            <w:tcW w:w="1497" w:type="dxa"/>
            <w:noWrap w:val="0"/>
            <w:vAlign w:val="center"/>
          </w:tcPr>
          <w:p>
            <w:pPr>
              <w:snapToGrid w:val="0"/>
              <w:contextualSpacing/>
              <w:jc w:val="center"/>
              <w:rPr>
                <w:rFonts w:hint="eastAsia" w:ascii="仿宋" w:hAnsi="仿宋" w:eastAsia="仿宋" w:cs="仿宋"/>
                <w:color w:val="000000"/>
                <w:spacing w:val="2"/>
                <w:sz w:val="32"/>
                <w:szCs w:val="32"/>
                <w:highlight w:val="none"/>
              </w:rPr>
            </w:pPr>
          </w:p>
        </w:tc>
      </w:tr>
    </w:tbl>
    <w:p>
      <w:pPr>
        <w:pStyle w:val="6"/>
        <w:rPr>
          <w:rFonts w:hint="eastAsia" w:ascii="仿宋" w:hAnsi="仿宋" w:eastAsia="仿宋" w:cs="仿宋"/>
          <w:color w:val="auto"/>
          <w:sz w:val="30"/>
          <w:szCs w:val="30"/>
          <w:highlight w:val="none"/>
          <w:lang w:eastAsia="zh-CN"/>
        </w:rPr>
      </w:pPr>
    </w:p>
    <w:p>
      <w:pPr>
        <w:autoSpaceDN w:val="0"/>
        <w:spacing w:line="240" w:lineRule="auto"/>
        <w:ind w:firstLine="6560" w:firstLineChars="2050"/>
        <w:rPr>
          <w:rFonts w:hint="eastAsia" w:ascii="仿宋" w:hAnsi="仿宋" w:eastAsia="仿宋" w:cs="仿宋"/>
          <w:color w:val="auto"/>
          <w:kern w:val="2"/>
          <w:sz w:val="32"/>
          <w:szCs w:val="32"/>
          <w:highlight w:val="none"/>
        </w:rPr>
      </w:pPr>
    </w:p>
    <w:p>
      <w:pPr>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br w:type="page"/>
      </w:r>
    </w:p>
    <w:p>
      <w:pPr>
        <w:jc w:val="center"/>
        <w:rPr>
          <w:rFonts w:hint="eastAsia" w:ascii="黑体" w:hAnsi="黑体" w:eastAsia="黑体" w:cs="黑体"/>
          <w:color w:val="auto"/>
          <w:sz w:val="36"/>
          <w:szCs w:val="44"/>
          <w:highlight w:val="none"/>
          <w:lang w:val="en-US" w:eastAsia="zh-CN"/>
        </w:rPr>
      </w:pPr>
      <w:r>
        <w:rPr>
          <w:rFonts w:hint="eastAsia" w:ascii="黑体" w:hAnsi="黑体" w:eastAsia="黑体" w:cs="黑体"/>
          <w:b/>
          <w:color w:val="auto"/>
          <w:sz w:val="36"/>
          <w:szCs w:val="36"/>
          <w:highlight w:val="none"/>
        </w:rPr>
        <w:t>第</w:t>
      </w:r>
      <w:r>
        <w:rPr>
          <w:rFonts w:hint="eastAsia" w:ascii="黑体" w:hAnsi="黑体" w:eastAsia="黑体" w:cs="黑体"/>
          <w:b/>
          <w:color w:val="auto"/>
          <w:sz w:val="36"/>
          <w:szCs w:val="36"/>
          <w:highlight w:val="none"/>
          <w:lang w:eastAsia="zh-CN"/>
        </w:rPr>
        <w:t>五</w:t>
      </w:r>
      <w:r>
        <w:rPr>
          <w:rFonts w:hint="eastAsia" w:ascii="黑体" w:hAnsi="黑体" w:eastAsia="黑体" w:cs="黑体"/>
          <w:b/>
          <w:color w:val="auto"/>
          <w:sz w:val="36"/>
          <w:szCs w:val="36"/>
          <w:highlight w:val="none"/>
        </w:rPr>
        <w:t xml:space="preserve">章  </w:t>
      </w:r>
      <w:r>
        <w:rPr>
          <w:rFonts w:hint="eastAsia" w:ascii="黑体" w:hAnsi="黑体" w:eastAsia="黑体" w:cs="黑体"/>
          <w:b/>
          <w:color w:val="auto"/>
          <w:sz w:val="36"/>
          <w:szCs w:val="36"/>
          <w:highlight w:val="none"/>
          <w:lang w:val="en-US" w:eastAsia="zh-CN"/>
        </w:rPr>
        <w:t>采购项目技术、服务及其他商务要求</w:t>
      </w:r>
    </w:p>
    <w:p>
      <w:pPr>
        <w:pStyle w:val="6"/>
        <w:rPr>
          <w:rFonts w:hint="default" w:ascii="黑体" w:hAnsi="黑体" w:eastAsia="黑体" w:cs="黑体"/>
          <w:color w:val="auto"/>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技术要求（实质性要求）：</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1. 前期创意策划</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结合医院搬迁主题撰写宣传片创意方案、完整分镜脚本、解说词文案，根据院方意见多轮调整至定稿；深度对接宣传科、临床科室挖掘医疗故事、特色亮点。</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2. 实地影视拍摄</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4K电影级拍摄，包含无人机航拍、延时摄影、稳定器、专业灯光、专业收音；全程专业导演、摄像、灯光、航拍、驻场拍摄；医护、患者出镜场景配合院内统筹协调。</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3. 后期全流程制作</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粗剪、精剪、达芬奇专业调色、央视标准专业配音、正版含版权背景音乐、字幕包装、科室数据特效、片头片尾包装；提供1次全片大修改</w:t>
      </w:r>
      <w:bookmarkStart w:id="16" w:name="_GoBack"/>
      <w:bookmarkEnd w:id="16"/>
      <w:r>
        <w:rPr>
          <w:rFonts w:hint="eastAsia" w:ascii="Times New Roman" w:hAnsi="Times New Roman" w:eastAsia="仿宋_GB2312" w:cs="Times New Roman"/>
          <w:kern w:val="0"/>
          <w:sz w:val="32"/>
          <w:szCs w:val="32"/>
          <w:highlight w:val="none"/>
          <w:lang w:val="en-US" w:eastAsia="zh-CN" w:bidi="ar"/>
        </w:rPr>
        <w:t>、次数细节3个月内完成微调修改。</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4. 完整交付物料</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① 5分钟4K完整版宣传片（MP4）</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② 1分钟新媒体精简版（1080P）</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③ 全套原始拍摄素材、脚本、分镜、配音文稿</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④ 音乐版权授权文件、成片无水印源文件</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5. 配套服务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成片交付后1年内提供免费素材剪辑、字幕微调服务；影片版权全部归属本院，服务商不得私自商用、转发成片。</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6.影片内容要求</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①发展篇章：医院发展沿革、多年行医初心、整体搬迁升级背景；</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② 新院硬件：新院区整体建筑、门诊大厅、病房、手术室、检验影像、康复、急救、停车、绿化休闲配套；</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 ③技术专科：重点特色科室、先进医疗设备、微创/疑难诊疗技术；</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 ④人文温情：医护日常、医患暖心故事、搬迁筹备期间职工坚守、便民服务、公益义诊；</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 ⑤未来愿景：医院发展规划、为民健康服务使命、面向群众的品牌承诺。</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⑥整体风格庄重温情、专业大气，杜绝浮夸营销，符合医疗机构宣传合规要求，无夸大诊疗、违规医疗宣传话术。</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7.应征单位需提交关于修改次数、交付周期、版权归属、售后保障书面承诺。（加盖企业公章）</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商务要求：</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1.交货时间：自医院整体搬迁至新院区起30日历天内完成全片拍摄、修改、定稿交付。因甲方延迟或自然灾害的不可抗力因素，双方自行协商。</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2.交货地点：采购人指定地点。</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3.付款方式： 完成宣传片拍摄并验收合格，收到有效票据后30日内一次性付清。</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4.违约责任及解决争议的方法：合同履行期间，若双方发生争议，可协商或由有关部门协调解决，协商或协调不成功的，双方均可向五通桥区人民法院提起诉讼依法维护其合法权益。</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kern w:val="0"/>
          <w:sz w:val="32"/>
          <w:szCs w:val="32"/>
          <w:highlight w:val="none"/>
          <w:lang w:val="en-US" w:eastAsia="zh-CN" w:bidi="ar"/>
        </w:rPr>
      </w:pPr>
    </w:p>
    <w:p>
      <w:pPr>
        <w:ind w:firstLine="640" w:firstLineChars="200"/>
        <w:rPr>
          <w:rFonts w:hint="default" w:ascii="仿宋" w:hAnsi="仿宋" w:eastAsia="仿宋" w:cs="仿宋"/>
          <w:color w:val="auto"/>
          <w:sz w:val="32"/>
          <w:szCs w:val="32"/>
          <w:highlight w:val="none"/>
          <w:lang w:val="en-US" w:eastAsia="zh-CN"/>
        </w:rPr>
      </w:pPr>
    </w:p>
    <w:p>
      <w:pPr>
        <w:ind w:firstLine="640" w:firstLineChars="200"/>
        <w:rPr>
          <w:rFonts w:hint="default" w:ascii="仿宋" w:hAnsi="仿宋" w:eastAsia="仿宋" w:cs="仿宋"/>
          <w:color w:val="auto"/>
          <w:sz w:val="32"/>
          <w:szCs w:val="32"/>
          <w:highlight w:val="none"/>
          <w:lang w:val="en-US" w:eastAsia="zh-CN"/>
        </w:rPr>
      </w:pPr>
    </w:p>
    <w:p>
      <w:pPr>
        <w:ind w:firstLine="640" w:firstLineChars="200"/>
        <w:rPr>
          <w:rFonts w:hint="default" w:ascii="仿宋" w:hAnsi="仿宋" w:eastAsia="仿宋" w:cs="仿宋"/>
          <w:color w:val="auto"/>
          <w:sz w:val="32"/>
          <w:szCs w:val="32"/>
          <w:highlight w:val="none"/>
          <w:lang w:val="en-US" w:eastAsia="zh-CN"/>
        </w:rPr>
      </w:pPr>
    </w:p>
    <w:p>
      <w:pPr>
        <w:ind w:firstLine="640" w:firstLineChars="200"/>
        <w:rPr>
          <w:rFonts w:hint="default" w:ascii="仿宋" w:hAnsi="仿宋" w:eastAsia="仿宋" w:cs="仿宋"/>
          <w:color w:val="auto"/>
          <w:sz w:val="32"/>
          <w:szCs w:val="32"/>
          <w:highlight w:val="none"/>
          <w:lang w:val="en-US" w:eastAsia="zh-CN"/>
        </w:rPr>
      </w:pPr>
    </w:p>
    <w:p>
      <w:pPr>
        <w:ind w:firstLine="640" w:firstLineChars="200"/>
        <w:rPr>
          <w:rFonts w:hint="default" w:ascii="仿宋" w:hAnsi="仿宋" w:eastAsia="仿宋" w:cs="仿宋"/>
          <w:color w:val="auto"/>
          <w:sz w:val="32"/>
          <w:szCs w:val="32"/>
          <w:highlight w:val="none"/>
          <w:lang w:val="en-US" w:eastAsia="zh-CN"/>
        </w:rPr>
      </w:pP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评分细则：</w:t>
      </w:r>
    </w:p>
    <w:tbl>
      <w:tblPr>
        <w:tblStyle w:val="21"/>
        <w:tblW w:w="9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81"/>
        <w:gridCol w:w="1036"/>
        <w:gridCol w:w="808"/>
        <w:gridCol w:w="5912"/>
        <w:gridCol w:w="10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9" w:hRule="atLeast"/>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序号</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评分因素及权重</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分值</w:t>
            </w:r>
          </w:p>
        </w:tc>
        <w:tc>
          <w:tcPr>
            <w:tcW w:w="5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评分标准</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0" w:hRule="atLeast"/>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1</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报价10%</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10分</w:t>
            </w:r>
          </w:p>
        </w:tc>
        <w:tc>
          <w:tcPr>
            <w:tcW w:w="5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以满足采购文件要求且报价最低的作为基准价，其价格分为满分，其余报价得分=（基准价／报价）×10。</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2" w:hRule="atLeast"/>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业绩25%</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25分</w:t>
            </w:r>
          </w:p>
        </w:tc>
        <w:tc>
          <w:tcPr>
            <w:tcW w:w="5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近3年内拥有公立医院/医疗机构/其他企事业单位宣传片完整摄制案例，需提供对应合同、成片链接、验收证明佐证，至少提供2份同类医疗项目/其他企事业单位业绩。每提供一份得5分，最多25分。不提供不得分。</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70" w:hRule="atLeast"/>
        </w:trPr>
        <w:tc>
          <w:tcPr>
            <w:tcW w:w="58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3</w:t>
            </w:r>
          </w:p>
        </w:tc>
        <w:tc>
          <w:tcPr>
            <w:tcW w:w="103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团队实力25%</w:t>
            </w:r>
          </w:p>
        </w:tc>
        <w:tc>
          <w:tcPr>
            <w:tcW w:w="80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25分</w:t>
            </w:r>
          </w:p>
        </w:tc>
        <w:tc>
          <w:tcPr>
            <w:tcW w:w="5912"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自有稳定专业摄制团队（导演、摄像、航拍、后期、配音对接人员）提供团队人员社保购买证明清单，团队等于5人得5分，往上每多一人得一分，最多10分，不提供不得分；自有4K摄影机、航拍设备、轨道、灯光等全套影视器材，不得外租拼凑核心设备。（提供自有设备购买清单及合同复印件，并盖章）得15分，不提供不得分。</w:t>
            </w:r>
          </w:p>
        </w:tc>
        <w:tc>
          <w:tcPr>
            <w:tcW w:w="104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71" w:hRule="atLeast"/>
        </w:trPr>
        <w:tc>
          <w:tcPr>
            <w:tcW w:w="581"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w:t>
            </w:r>
          </w:p>
        </w:tc>
        <w:tc>
          <w:tcPr>
            <w:tcW w:w="1036"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项目设计方案20%</w:t>
            </w:r>
          </w:p>
        </w:tc>
        <w:tc>
          <w:tcPr>
            <w:tcW w:w="808"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20分</w:t>
            </w:r>
          </w:p>
        </w:tc>
        <w:tc>
          <w:tcPr>
            <w:tcW w:w="5912"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投标供应商根据现场勘探出具创意方案，方案优者得20分，方案合理者得15分，方案较合理者得10分，以此类推，不提供不得分。</w:t>
            </w:r>
          </w:p>
        </w:tc>
        <w:tc>
          <w:tcPr>
            <w:tcW w:w="1043"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90" w:hRule="atLeast"/>
        </w:trPr>
        <w:tc>
          <w:tcPr>
            <w:tcW w:w="5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5</w:t>
            </w:r>
          </w:p>
        </w:tc>
        <w:tc>
          <w:tcPr>
            <w:tcW w:w="1036"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售后服务20%</w:t>
            </w:r>
          </w:p>
        </w:tc>
        <w:tc>
          <w:tcPr>
            <w:tcW w:w="808"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20分</w:t>
            </w:r>
          </w:p>
        </w:tc>
        <w:tc>
          <w:tcPr>
            <w:tcW w:w="5912"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供应商针对本项目的售后服务方案，售后服务方案优者得20分，方案合理者得15分，方案较合理者得10分，以此类推，不提供不得分。</w:t>
            </w:r>
          </w:p>
        </w:tc>
        <w:tc>
          <w:tcPr>
            <w:tcW w:w="1043"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bl>
    <w:p>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p>
    <w:sectPr>
      <w:headerReference r:id="rId4" w:type="first"/>
      <w:footerReference r:id="rId6" w:type="first"/>
      <w:headerReference r:id="rId3" w:type="default"/>
      <w:footerReference r:id="rId5" w:type="default"/>
      <w:pgSz w:w="11906" w:h="16838"/>
      <w:pgMar w:top="720" w:right="720" w:bottom="720" w:left="720" w:header="680" w:footer="680" w:gutter="0"/>
      <w:pgBorders>
        <w:top w:val="none" w:sz="0" w:space="0"/>
        <w:left w:val="none" w:sz="0" w:space="0"/>
        <w:bottom w:val="none" w:sz="0" w:space="0"/>
        <w:right w:val="none" w:sz="0" w:space="0"/>
      </w:pgBorders>
      <w:pgNumType w:fmt="decimal"/>
      <w:cols w:space="0" w:num="1"/>
      <w:titlePg/>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sz w:val="24"/>
                              <w:szCs w:val="24"/>
                            </w:rPr>
                          </w:pPr>
                          <w:r>
                            <w:rPr>
                              <w:sz w:val="24"/>
                              <w:szCs w:val="24"/>
                            </w:rPr>
                            <w:t xml:space="preserve">第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页 共 </w:t>
                          </w:r>
                          <w:r>
                            <w:rPr>
                              <w:sz w:val="24"/>
                              <w:szCs w:val="24"/>
                            </w:rPr>
                            <w:fldChar w:fldCharType="begin"/>
                          </w:r>
                          <w:r>
                            <w:rPr>
                              <w:sz w:val="24"/>
                              <w:szCs w:val="24"/>
                            </w:rPr>
                            <w:instrText xml:space="preserve"> NUMPAGES  \* MERGEFORMAT </w:instrText>
                          </w:r>
                          <w:r>
                            <w:rPr>
                              <w:sz w:val="24"/>
                              <w:szCs w:val="24"/>
                            </w:rPr>
                            <w:fldChar w:fldCharType="separate"/>
                          </w:r>
                          <w:r>
                            <w:rPr>
                              <w:sz w:val="24"/>
                              <w:szCs w:val="24"/>
                            </w:rPr>
                            <w:t>13</w:t>
                          </w:r>
                          <w:r>
                            <w:rPr>
                              <w:sz w:val="24"/>
                              <w:szCs w:val="24"/>
                            </w:rPr>
                            <w:fldChar w:fldCharType="end"/>
                          </w:r>
                          <w:r>
                            <w:rPr>
                              <w:sz w:val="24"/>
                              <w:szCs w:val="24"/>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4"/>
                      <w:rPr>
                        <w:sz w:val="24"/>
                        <w:szCs w:val="24"/>
                      </w:rPr>
                    </w:pPr>
                    <w:r>
                      <w:rPr>
                        <w:sz w:val="24"/>
                        <w:szCs w:val="24"/>
                      </w:rPr>
                      <w:t xml:space="preserve">第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页 共 </w:t>
                    </w:r>
                    <w:r>
                      <w:rPr>
                        <w:sz w:val="24"/>
                        <w:szCs w:val="24"/>
                      </w:rPr>
                      <w:fldChar w:fldCharType="begin"/>
                    </w:r>
                    <w:r>
                      <w:rPr>
                        <w:sz w:val="24"/>
                        <w:szCs w:val="24"/>
                      </w:rPr>
                      <w:instrText xml:space="preserve"> NUMPAGES  \* MERGEFORMAT </w:instrText>
                    </w:r>
                    <w:r>
                      <w:rPr>
                        <w:sz w:val="24"/>
                        <w:szCs w:val="24"/>
                      </w:rPr>
                      <w:fldChar w:fldCharType="separate"/>
                    </w:r>
                    <w:r>
                      <w:rPr>
                        <w:sz w:val="24"/>
                        <w:szCs w:val="24"/>
                      </w:rPr>
                      <w:t>13</w:t>
                    </w:r>
                    <w:r>
                      <w:rPr>
                        <w:sz w:val="24"/>
                        <w:szCs w:val="24"/>
                      </w:rPr>
                      <w:fldChar w:fldCharType="end"/>
                    </w:r>
                    <w:r>
                      <w:rPr>
                        <w:sz w:val="24"/>
                        <w:szCs w:val="24"/>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jc w:val="both"/>
      <w:rPr>
        <w:rFonts w:hint="eastAsia" w:eastAsiaTheme="minor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B0FD13"/>
    <w:multiLevelType w:val="singleLevel"/>
    <w:tmpl w:val="C0B0FD13"/>
    <w:lvl w:ilvl="0" w:tentative="0">
      <w:start w:val="4"/>
      <w:numFmt w:val="chineseCounting"/>
      <w:suff w:val="space"/>
      <w:lvlText w:val="第%1章"/>
      <w:lvlJc w:val="left"/>
      <w:rPr>
        <w:rFonts w:hint="eastAsia"/>
      </w:rPr>
    </w:lvl>
  </w:abstractNum>
  <w:abstractNum w:abstractNumId="1">
    <w:nsid w:val="C45F5704"/>
    <w:multiLevelType w:val="singleLevel"/>
    <w:tmpl w:val="C45F57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iN2VmZThjMzNiOWMyOWMxMTEwM2ZiOGYwYzY1NzgifQ=="/>
  </w:docVars>
  <w:rsids>
    <w:rsidRoot w:val="20B86F62"/>
    <w:rsid w:val="00FE51BA"/>
    <w:rsid w:val="01724615"/>
    <w:rsid w:val="01AC44D5"/>
    <w:rsid w:val="01DA1F83"/>
    <w:rsid w:val="02653FAC"/>
    <w:rsid w:val="038264FB"/>
    <w:rsid w:val="03E45948"/>
    <w:rsid w:val="03EB6F22"/>
    <w:rsid w:val="04487BA9"/>
    <w:rsid w:val="047A7398"/>
    <w:rsid w:val="04976AF6"/>
    <w:rsid w:val="05813897"/>
    <w:rsid w:val="059611CA"/>
    <w:rsid w:val="05B93485"/>
    <w:rsid w:val="05DD44EC"/>
    <w:rsid w:val="05FA4A68"/>
    <w:rsid w:val="064447CD"/>
    <w:rsid w:val="06665856"/>
    <w:rsid w:val="067E55F8"/>
    <w:rsid w:val="06C83EF1"/>
    <w:rsid w:val="07515969"/>
    <w:rsid w:val="07954271"/>
    <w:rsid w:val="07E32607"/>
    <w:rsid w:val="083F7233"/>
    <w:rsid w:val="08570094"/>
    <w:rsid w:val="0892424A"/>
    <w:rsid w:val="08A100E8"/>
    <w:rsid w:val="08CB4D94"/>
    <w:rsid w:val="08D706EB"/>
    <w:rsid w:val="09281C73"/>
    <w:rsid w:val="092B0852"/>
    <w:rsid w:val="099C0C65"/>
    <w:rsid w:val="09CF2980"/>
    <w:rsid w:val="0A5766D2"/>
    <w:rsid w:val="0B481B96"/>
    <w:rsid w:val="0B5B6EA7"/>
    <w:rsid w:val="0B9B184D"/>
    <w:rsid w:val="0BBF2600"/>
    <w:rsid w:val="0BD01E0A"/>
    <w:rsid w:val="0C145251"/>
    <w:rsid w:val="0C3E61B9"/>
    <w:rsid w:val="0C722FDF"/>
    <w:rsid w:val="0DA12370"/>
    <w:rsid w:val="0DBF0EC4"/>
    <w:rsid w:val="0DE40DBE"/>
    <w:rsid w:val="0E672DB3"/>
    <w:rsid w:val="0E904937"/>
    <w:rsid w:val="0E9E1831"/>
    <w:rsid w:val="0EAB0093"/>
    <w:rsid w:val="0EEB0C68"/>
    <w:rsid w:val="0F225786"/>
    <w:rsid w:val="0FCE2C6B"/>
    <w:rsid w:val="107F49DA"/>
    <w:rsid w:val="11103FB2"/>
    <w:rsid w:val="11106DD4"/>
    <w:rsid w:val="113065C7"/>
    <w:rsid w:val="11551C0D"/>
    <w:rsid w:val="11630C29"/>
    <w:rsid w:val="11FC5B74"/>
    <w:rsid w:val="12374305"/>
    <w:rsid w:val="126E39B3"/>
    <w:rsid w:val="12AB3D92"/>
    <w:rsid w:val="132D67B3"/>
    <w:rsid w:val="13320F8E"/>
    <w:rsid w:val="13704990"/>
    <w:rsid w:val="13E72023"/>
    <w:rsid w:val="14911F61"/>
    <w:rsid w:val="159705C2"/>
    <w:rsid w:val="15E24AF5"/>
    <w:rsid w:val="17685E02"/>
    <w:rsid w:val="182F44F3"/>
    <w:rsid w:val="184E41FF"/>
    <w:rsid w:val="1865790E"/>
    <w:rsid w:val="189E6B7E"/>
    <w:rsid w:val="18E41C4F"/>
    <w:rsid w:val="18EA25BB"/>
    <w:rsid w:val="193B3817"/>
    <w:rsid w:val="19497A6B"/>
    <w:rsid w:val="1998123A"/>
    <w:rsid w:val="19DF1744"/>
    <w:rsid w:val="1A1375F5"/>
    <w:rsid w:val="1A8B6B5A"/>
    <w:rsid w:val="1AC265D5"/>
    <w:rsid w:val="1AF5353D"/>
    <w:rsid w:val="1B493578"/>
    <w:rsid w:val="1B5723EF"/>
    <w:rsid w:val="1B93321C"/>
    <w:rsid w:val="1BAD400C"/>
    <w:rsid w:val="1C380FAC"/>
    <w:rsid w:val="1DE81A96"/>
    <w:rsid w:val="1E127696"/>
    <w:rsid w:val="1E4521C9"/>
    <w:rsid w:val="1EC85776"/>
    <w:rsid w:val="1F0B1E38"/>
    <w:rsid w:val="1F176598"/>
    <w:rsid w:val="1F782175"/>
    <w:rsid w:val="1FF30B58"/>
    <w:rsid w:val="1FFB4E00"/>
    <w:rsid w:val="200C1DCC"/>
    <w:rsid w:val="2024443A"/>
    <w:rsid w:val="20B62B46"/>
    <w:rsid w:val="20B86F62"/>
    <w:rsid w:val="20DA469D"/>
    <w:rsid w:val="21141E9E"/>
    <w:rsid w:val="216C2703"/>
    <w:rsid w:val="219C0935"/>
    <w:rsid w:val="219C0C5F"/>
    <w:rsid w:val="223E3923"/>
    <w:rsid w:val="22CD72A0"/>
    <w:rsid w:val="22DC6C27"/>
    <w:rsid w:val="230709BE"/>
    <w:rsid w:val="2333299E"/>
    <w:rsid w:val="23B92E0F"/>
    <w:rsid w:val="23E06324"/>
    <w:rsid w:val="245C589E"/>
    <w:rsid w:val="24640781"/>
    <w:rsid w:val="24972E1D"/>
    <w:rsid w:val="25730E93"/>
    <w:rsid w:val="2575459C"/>
    <w:rsid w:val="258F1C50"/>
    <w:rsid w:val="260C2C13"/>
    <w:rsid w:val="26DE5391"/>
    <w:rsid w:val="26F92D9C"/>
    <w:rsid w:val="27727EF2"/>
    <w:rsid w:val="27847B1B"/>
    <w:rsid w:val="27E167C8"/>
    <w:rsid w:val="27E8188C"/>
    <w:rsid w:val="27FC6D6D"/>
    <w:rsid w:val="280F7F64"/>
    <w:rsid w:val="286E79EF"/>
    <w:rsid w:val="295D2E54"/>
    <w:rsid w:val="29E733A5"/>
    <w:rsid w:val="29EC6ACA"/>
    <w:rsid w:val="2A571F3F"/>
    <w:rsid w:val="2A6F6F5A"/>
    <w:rsid w:val="2A752D03"/>
    <w:rsid w:val="2A843F12"/>
    <w:rsid w:val="2A954942"/>
    <w:rsid w:val="2ABD6DFF"/>
    <w:rsid w:val="2AD02384"/>
    <w:rsid w:val="2B4A4982"/>
    <w:rsid w:val="2B6C2AA5"/>
    <w:rsid w:val="2C3A64AA"/>
    <w:rsid w:val="2C603C27"/>
    <w:rsid w:val="2CA05064"/>
    <w:rsid w:val="2CC9483E"/>
    <w:rsid w:val="2CD61AC0"/>
    <w:rsid w:val="2D003A0D"/>
    <w:rsid w:val="2D225054"/>
    <w:rsid w:val="2D3E76EB"/>
    <w:rsid w:val="2D675D4F"/>
    <w:rsid w:val="2DAD2928"/>
    <w:rsid w:val="2DC54F7B"/>
    <w:rsid w:val="2E3D6C9E"/>
    <w:rsid w:val="2E681D4B"/>
    <w:rsid w:val="2E763F41"/>
    <w:rsid w:val="2ED755ED"/>
    <w:rsid w:val="2EFF3B7B"/>
    <w:rsid w:val="2F2D5CF3"/>
    <w:rsid w:val="2FC87E71"/>
    <w:rsid w:val="2FFD053A"/>
    <w:rsid w:val="305074F8"/>
    <w:rsid w:val="30567424"/>
    <w:rsid w:val="308E1295"/>
    <w:rsid w:val="30A47F0F"/>
    <w:rsid w:val="31240107"/>
    <w:rsid w:val="31AE2E30"/>
    <w:rsid w:val="32145B6C"/>
    <w:rsid w:val="32482F63"/>
    <w:rsid w:val="324D6948"/>
    <w:rsid w:val="32887A79"/>
    <w:rsid w:val="32CD64C2"/>
    <w:rsid w:val="3367096B"/>
    <w:rsid w:val="34015BA1"/>
    <w:rsid w:val="34104944"/>
    <w:rsid w:val="34607C42"/>
    <w:rsid w:val="34924F5A"/>
    <w:rsid w:val="34AD3121"/>
    <w:rsid w:val="35715602"/>
    <w:rsid w:val="35850C85"/>
    <w:rsid w:val="358537EA"/>
    <w:rsid w:val="36206E51"/>
    <w:rsid w:val="3645059F"/>
    <w:rsid w:val="36812F2E"/>
    <w:rsid w:val="36FA0C0E"/>
    <w:rsid w:val="37564C34"/>
    <w:rsid w:val="37AF0C3F"/>
    <w:rsid w:val="381338B3"/>
    <w:rsid w:val="387820A1"/>
    <w:rsid w:val="391D2725"/>
    <w:rsid w:val="39241426"/>
    <w:rsid w:val="39EE61F2"/>
    <w:rsid w:val="3A0A5821"/>
    <w:rsid w:val="3A5C5257"/>
    <w:rsid w:val="3AC46F29"/>
    <w:rsid w:val="3ADC539A"/>
    <w:rsid w:val="3AE30FAC"/>
    <w:rsid w:val="3B3A67B9"/>
    <w:rsid w:val="3B572D45"/>
    <w:rsid w:val="3B65061B"/>
    <w:rsid w:val="3BB47094"/>
    <w:rsid w:val="3BD82555"/>
    <w:rsid w:val="3C396CD8"/>
    <w:rsid w:val="3C784360"/>
    <w:rsid w:val="3D912EF9"/>
    <w:rsid w:val="3DA25E25"/>
    <w:rsid w:val="3DC426FF"/>
    <w:rsid w:val="3E103198"/>
    <w:rsid w:val="3E5C675F"/>
    <w:rsid w:val="3E671DEC"/>
    <w:rsid w:val="3EBE1131"/>
    <w:rsid w:val="3F541632"/>
    <w:rsid w:val="4003626C"/>
    <w:rsid w:val="410C5355"/>
    <w:rsid w:val="416F0B2D"/>
    <w:rsid w:val="41817FB6"/>
    <w:rsid w:val="41894D39"/>
    <w:rsid w:val="41A91634"/>
    <w:rsid w:val="41C408EB"/>
    <w:rsid w:val="41E85D9F"/>
    <w:rsid w:val="421364F5"/>
    <w:rsid w:val="426D0D62"/>
    <w:rsid w:val="42893EDE"/>
    <w:rsid w:val="42C02DF3"/>
    <w:rsid w:val="42CD5B5D"/>
    <w:rsid w:val="43102EB4"/>
    <w:rsid w:val="431A22B8"/>
    <w:rsid w:val="439A1C32"/>
    <w:rsid w:val="43C05837"/>
    <w:rsid w:val="43EA5A8B"/>
    <w:rsid w:val="440E56DA"/>
    <w:rsid w:val="443E01E7"/>
    <w:rsid w:val="44665196"/>
    <w:rsid w:val="44A25016"/>
    <w:rsid w:val="44CD6391"/>
    <w:rsid w:val="44D66D93"/>
    <w:rsid w:val="45484D77"/>
    <w:rsid w:val="45976AE3"/>
    <w:rsid w:val="45D1027C"/>
    <w:rsid w:val="465A0D96"/>
    <w:rsid w:val="46653F5C"/>
    <w:rsid w:val="4670116D"/>
    <w:rsid w:val="46BF177E"/>
    <w:rsid w:val="46CC0FBC"/>
    <w:rsid w:val="46F821E8"/>
    <w:rsid w:val="47835BCD"/>
    <w:rsid w:val="47E92A18"/>
    <w:rsid w:val="484F3834"/>
    <w:rsid w:val="486A1208"/>
    <w:rsid w:val="487E3CCE"/>
    <w:rsid w:val="491D7010"/>
    <w:rsid w:val="492763FA"/>
    <w:rsid w:val="49F61C6A"/>
    <w:rsid w:val="4A2F0F8F"/>
    <w:rsid w:val="4A92068D"/>
    <w:rsid w:val="4AF20E01"/>
    <w:rsid w:val="4B21070C"/>
    <w:rsid w:val="4B9138ED"/>
    <w:rsid w:val="4C6D260E"/>
    <w:rsid w:val="4C70240B"/>
    <w:rsid w:val="4CA65850"/>
    <w:rsid w:val="4D4867BB"/>
    <w:rsid w:val="4D7854C0"/>
    <w:rsid w:val="4E1C022A"/>
    <w:rsid w:val="4E1E1D89"/>
    <w:rsid w:val="4FA771C2"/>
    <w:rsid w:val="4FDC7DDA"/>
    <w:rsid w:val="5003209D"/>
    <w:rsid w:val="50382023"/>
    <w:rsid w:val="508E2B4E"/>
    <w:rsid w:val="510B0316"/>
    <w:rsid w:val="51BF508E"/>
    <w:rsid w:val="51EE0DA2"/>
    <w:rsid w:val="51F23739"/>
    <w:rsid w:val="524A480D"/>
    <w:rsid w:val="5263348D"/>
    <w:rsid w:val="527E7420"/>
    <w:rsid w:val="5292301A"/>
    <w:rsid w:val="52C10CD7"/>
    <w:rsid w:val="52F64CB8"/>
    <w:rsid w:val="52FB39A7"/>
    <w:rsid w:val="531641E9"/>
    <w:rsid w:val="539E5C34"/>
    <w:rsid w:val="53CF2FCA"/>
    <w:rsid w:val="5446604D"/>
    <w:rsid w:val="547E1AE0"/>
    <w:rsid w:val="54F554AC"/>
    <w:rsid w:val="551A0D5D"/>
    <w:rsid w:val="55EE4C06"/>
    <w:rsid w:val="561A148B"/>
    <w:rsid w:val="565B213D"/>
    <w:rsid w:val="56773B8D"/>
    <w:rsid w:val="56D444B4"/>
    <w:rsid w:val="56D54293"/>
    <w:rsid w:val="572D0183"/>
    <w:rsid w:val="57567F4A"/>
    <w:rsid w:val="57667B7B"/>
    <w:rsid w:val="578D66D2"/>
    <w:rsid w:val="580A2903"/>
    <w:rsid w:val="582D72C1"/>
    <w:rsid w:val="58367041"/>
    <w:rsid w:val="583A1E71"/>
    <w:rsid w:val="584A40DF"/>
    <w:rsid w:val="589814E3"/>
    <w:rsid w:val="58B969E6"/>
    <w:rsid w:val="58C42CE6"/>
    <w:rsid w:val="59035A6B"/>
    <w:rsid w:val="592C7507"/>
    <w:rsid w:val="59A37B89"/>
    <w:rsid w:val="59D35B7E"/>
    <w:rsid w:val="5A2E686F"/>
    <w:rsid w:val="5AD77D82"/>
    <w:rsid w:val="5B134CBA"/>
    <w:rsid w:val="5B214FE3"/>
    <w:rsid w:val="5C557763"/>
    <w:rsid w:val="5CC55E89"/>
    <w:rsid w:val="5CC74DB0"/>
    <w:rsid w:val="5DA41796"/>
    <w:rsid w:val="5DC167D7"/>
    <w:rsid w:val="5EC40D23"/>
    <w:rsid w:val="5F0E08C6"/>
    <w:rsid w:val="5F5075CA"/>
    <w:rsid w:val="5F7007A2"/>
    <w:rsid w:val="5F85487D"/>
    <w:rsid w:val="5FB650D9"/>
    <w:rsid w:val="5FBA4BFF"/>
    <w:rsid w:val="6096215E"/>
    <w:rsid w:val="626070DF"/>
    <w:rsid w:val="62B86D17"/>
    <w:rsid w:val="62C824CA"/>
    <w:rsid w:val="635F68CB"/>
    <w:rsid w:val="642A2386"/>
    <w:rsid w:val="64677320"/>
    <w:rsid w:val="653C0392"/>
    <w:rsid w:val="6586792A"/>
    <w:rsid w:val="65DB33E9"/>
    <w:rsid w:val="65DD20B3"/>
    <w:rsid w:val="662C503A"/>
    <w:rsid w:val="66BB543F"/>
    <w:rsid w:val="66C47D68"/>
    <w:rsid w:val="67A45BAF"/>
    <w:rsid w:val="67C441FC"/>
    <w:rsid w:val="67CF5796"/>
    <w:rsid w:val="6855309E"/>
    <w:rsid w:val="68B23C16"/>
    <w:rsid w:val="69264D03"/>
    <w:rsid w:val="694F76A8"/>
    <w:rsid w:val="69884565"/>
    <w:rsid w:val="69CF4DB4"/>
    <w:rsid w:val="69F16575"/>
    <w:rsid w:val="69FE6269"/>
    <w:rsid w:val="6AD02878"/>
    <w:rsid w:val="6B110ED0"/>
    <w:rsid w:val="6B3D74AC"/>
    <w:rsid w:val="6BF5199F"/>
    <w:rsid w:val="6C81461E"/>
    <w:rsid w:val="6CC41F1C"/>
    <w:rsid w:val="6CE610BF"/>
    <w:rsid w:val="6CED312F"/>
    <w:rsid w:val="6CF2654E"/>
    <w:rsid w:val="6D1916FD"/>
    <w:rsid w:val="6D226C43"/>
    <w:rsid w:val="6D2A0EDA"/>
    <w:rsid w:val="6D535020"/>
    <w:rsid w:val="6D893865"/>
    <w:rsid w:val="6DCF5925"/>
    <w:rsid w:val="6E1A42BA"/>
    <w:rsid w:val="6E383ABA"/>
    <w:rsid w:val="6E8B493F"/>
    <w:rsid w:val="6EA3545A"/>
    <w:rsid w:val="6EAC3C15"/>
    <w:rsid w:val="6F9F7F7D"/>
    <w:rsid w:val="6FD73D1A"/>
    <w:rsid w:val="719A4F83"/>
    <w:rsid w:val="71DE50A5"/>
    <w:rsid w:val="722B548E"/>
    <w:rsid w:val="722E4AEA"/>
    <w:rsid w:val="73683978"/>
    <w:rsid w:val="73F43F5E"/>
    <w:rsid w:val="7438150C"/>
    <w:rsid w:val="746F037C"/>
    <w:rsid w:val="74802750"/>
    <w:rsid w:val="74D379E1"/>
    <w:rsid w:val="74F82EAA"/>
    <w:rsid w:val="75457DB7"/>
    <w:rsid w:val="7563067A"/>
    <w:rsid w:val="75E55D62"/>
    <w:rsid w:val="76466533"/>
    <w:rsid w:val="76B95234"/>
    <w:rsid w:val="77903BF7"/>
    <w:rsid w:val="77B4693A"/>
    <w:rsid w:val="77EA0BB9"/>
    <w:rsid w:val="77F97E1C"/>
    <w:rsid w:val="785111E8"/>
    <w:rsid w:val="78E831F4"/>
    <w:rsid w:val="79AC141B"/>
    <w:rsid w:val="79B51E35"/>
    <w:rsid w:val="79EA27D4"/>
    <w:rsid w:val="7A5618FB"/>
    <w:rsid w:val="7AE23540"/>
    <w:rsid w:val="7B40776F"/>
    <w:rsid w:val="7C29457B"/>
    <w:rsid w:val="7CD44FE8"/>
    <w:rsid w:val="7CE9423F"/>
    <w:rsid w:val="7D9A1A1C"/>
    <w:rsid w:val="7E163DF2"/>
    <w:rsid w:val="7E1D587C"/>
    <w:rsid w:val="7E1E62DD"/>
    <w:rsid w:val="7E220861"/>
    <w:rsid w:val="7E9A50CB"/>
    <w:rsid w:val="7EE2433D"/>
    <w:rsid w:val="7F1A184B"/>
    <w:rsid w:val="7F4A08A0"/>
    <w:rsid w:val="7F95659D"/>
    <w:rsid w:val="7FE91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beforeLines="0" w:beforeAutospacing="0" w:afterLines="0" w:afterAutospacing="0" w:line="360" w:lineRule="auto"/>
      <w:jc w:val="center"/>
      <w:outlineLvl w:val="0"/>
    </w:pPr>
    <w:rPr>
      <w:rFonts w:hint="eastAsia" w:ascii="Times New Roman" w:hAnsi="Times New Roman" w:eastAsia="宋体"/>
      <w:b/>
      <w:color w:val="000000"/>
      <w:kern w:val="44"/>
      <w:sz w:val="44"/>
      <w:lang w:val="zh-CN"/>
    </w:rPr>
  </w:style>
  <w:style w:type="paragraph" w:styleId="3">
    <w:name w:val="heading 2"/>
    <w:basedOn w:val="1"/>
    <w:next w:val="1"/>
    <w:qFormat/>
    <w:uiPriority w:val="9"/>
    <w:pPr>
      <w:keepNext/>
      <w:keepLines/>
      <w:spacing w:before="260" w:after="260" w:line="240" w:lineRule="auto"/>
      <w:jc w:val="center"/>
      <w:outlineLvl w:val="1"/>
    </w:pPr>
    <w:rPr>
      <w:rFonts w:ascii="Cambria" w:hAnsi="Cambria" w:eastAsia="宋体"/>
      <w:b/>
      <w:bCs/>
      <w:kern w:val="0"/>
      <w:sz w:val="28"/>
      <w:szCs w:val="32"/>
    </w:rPr>
  </w:style>
  <w:style w:type="paragraph" w:styleId="4">
    <w:name w:val="heading 3"/>
    <w:basedOn w:val="1"/>
    <w:next w:val="1"/>
    <w:qFormat/>
    <w:uiPriority w:val="0"/>
    <w:pPr>
      <w:keepNext/>
      <w:keepLines/>
      <w:spacing w:before="260" w:after="260" w:line="416" w:lineRule="auto"/>
      <w:outlineLvl w:val="2"/>
    </w:pPr>
    <w:rPr>
      <w:b/>
      <w:bCs/>
      <w:kern w:val="0"/>
      <w:sz w:val="32"/>
      <w:szCs w:val="32"/>
    </w:rPr>
  </w:style>
  <w:style w:type="character" w:default="1" w:styleId="1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5">
    <w:name w:val="Body Text First Indent"/>
    <w:basedOn w:val="6"/>
    <w:qFormat/>
    <w:uiPriority w:val="0"/>
    <w:pPr>
      <w:ind w:firstLine="420" w:firstLineChars="100"/>
    </w:pPr>
    <w:rPr>
      <w:rFonts w:ascii="Times New Roman" w:hAnsi="Times New Roman" w:eastAsia="宋体" w:cs="Times New Roman"/>
    </w:rPr>
  </w:style>
  <w:style w:type="paragraph" w:styleId="6">
    <w:name w:val="Body Text"/>
    <w:basedOn w:val="1"/>
    <w:next w:val="7"/>
    <w:qFormat/>
    <w:uiPriority w:val="0"/>
    <w:pPr>
      <w:spacing w:after="120" w:afterLines="0" w:afterAutospacing="0"/>
    </w:pPr>
  </w:style>
  <w:style w:type="paragraph" w:styleId="7">
    <w:name w:val="Quote"/>
    <w:basedOn w:val="1"/>
    <w:next w:val="1"/>
    <w:qFormat/>
    <w:uiPriority w:val="0"/>
    <w:rPr>
      <w:i/>
      <w:iCs/>
      <w:color w:val="000000"/>
      <w:szCs w:val="22"/>
    </w:rPr>
  </w:style>
  <w:style w:type="paragraph" w:styleId="8">
    <w:name w:val="index 8"/>
    <w:basedOn w:val="1"/>
    <w:next w:val="1"/>
    <w:qFormat/>
    <w:uiPriority w:val="0"/>
    <w:pPr>
      <w:ind w:left="3920" w:leftChars="1400"/>
    </w:pPr>
  </w:style>
  <w:style w:type="paragraph" w:styleId="9">
    <w:name w:val="Body Text Indent"/>
    <w:basedOn w:val="1"/>
    <w:next w:val="10"/>
    <w:qFormat/>
    <w:uiPriority w:val="0"/>
    <w:pPr>
      <w:spacing w:after="120" w:afterLines="0"/>
      <w:ind w:left="420" w:leftChars="200"/>
    </w:pPr>
  </w:style>
  <w:style w:type="paragraph" w:styleId="10">
    <w:name w:val="envelope return"/>
    <w:basedOn w:val="1"/>
    <w:qFormat/>
    <w:uiPriority w:val="0"/>
    <w:pPr>
      <w:snapToGrid w:val="0"/>
    </w:pPr>
    <w:rPr>
      <w:rFonts w:ascii="Arial" w:hAnsi="Arial"/>
    </w:r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hAnsi="Courier New"/>
      <w:szCs w:val="20"/>
    </w:rPr>
  </w:style>
  <w:style w:type="paragraph" w:styleId="13">
    <w:name w:val="Body Text Indent 2"/>
    <w:basedOn w:val="1"/>
    <w:qFormat/>
    <w:uiPriority w:val="0"/>
    <w:pPr>
      <w:spacing w:after="120" w:line="480" w:lineRule="auto"/>
      <w:ind w:left="420" w:leftChars="200"/>
    </w:p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tabs>
        <w:tab w:val="right" w:leader="dot" w:pos="9628"/>
      </w:tabs>
      <w:spacing w:line="360" w:lineRule="auto"/>
      <w:jc w:val="center"/>
    </w:pPr>
  </w:style>
  <w:style w:type="paragraph" w:styleId="1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9">
    <w:name w:val="page number"/>
    <w:basedOn w:val="18"/>
    <w:qFormat/>
    <w:uiPriority w:val="0"/>
  </w:style>
  <w:style w:type="character" w:styleId="20">
    <w:name w:val="Hyperlink"/>
    <w:qFormat/>
    <w:uiPriority w:val="0"/>
    <w:rPr>
      <w:color w:val="0000FF"/>
      <w:u w:val="single"/>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标题 1 Char"/>
    <w:link w:val="2"/>
    <w:qFormat/>
    <w:uiPriority w:val="0"/>
    <w:rPr>
      <w:rFonts w:hint="eastAsia" w:ascii="Times New Roman" w:hAnsi="Times New Roman" w:eastAsia="宋体"/>
      <w:b/>
      <w:color w:val="000000"/>
      <w:kern w:val="44"/>
      <w:sz w:val="44"/>
      <w:lang w:val="zh-CN"/>
    </w:rPr>
  </w:style>
  <w:style w:type="paragraph" w:customStyle="1" w:styleId="24">
    <w:name w:val="正文首行缩进两字符"/>
    <w:basedOn w:val="1"/>
    <w:qFormat/>
    <w:uiPriority w:val="0"/>
    <w:pPr>
      <w:spacing w:line="360" w:lineRule="auto"/>
      <w:ind w:firstLine="200" w:firstLineChars="200"/>
    </w:pPr>
  </w:style>
  <w:style w:type="character" w:customStyle="1" w:styleId="25">
    <w:name w:val="font21"/>
    <w:basedOn w:val="18"/>
    <w:qFormat/>
    <w:uiPriority w:val="0"/>
    <w:rPr>
      <w:rFonts w:ascii="Calibri" w:hAnsi="Calibri" w:cs="Calibri"/>
      <w:color w:val="000000"/>
      <w:sz w:val="18"/>
      <w:szCs w:val="18"/>
      <w:u w:val="none"/>
    </w:rPr>
  </w:style>
  <w:style w:type="character" w:customStyle="1" w:styleId="26">
    <w:name w:val="font01"/>
    <w:basedOn w:val="18"/>
    <w:qFormat/>
    <w:uiPriority w:val="0"/>
    <w:rPr>
      <w:rFonts w:hint="eastAsia" w:ascii="宋体" w:hAnsi="宋体" w:eastAsia="宋体" w:cs="宋体"/>
      <w:color w:val="000000"/>
      <w:sz w:val="18"/>
      <w:szCs w:val="18"/>
      <w:u w:val="none"/>
    </w:rPr>
  </w:style>
  <w:style w:type="paragraph" w:styleId="27">
    <w:name w:val="List Paragraph"/>
    <w:basedOn w:val="1"/>
    <w:qFormat/>
    <w:uiPriority w:val="34"/>
    <w:pPr>
      <w:ind w:firstLine="420" w:firstLineChars="200"/>
    </w:pPr>
    <w:rPr>
      <w:rFonts w:ascii="Calibri" w:hAnsi="Calibri" w:eastAsia="宋体" w:cs="Times New Roman"/>
      <w:sz w:val="21"/>
      <w:szCs w:val="22"/>
    </w:rPr>
  </w:style>
  <w:style w:type="paragraph" w:customStyle="1" w:styleId="28">
    <w:name w:val="文章正文"/>
    <w:basedOn w:val="1"/>
    <w:qFormat/>
    <w:uiPriority w:val="0"/>
    <w:pPr>
      <w:widowControl w:val="0"/>
      <w:adjustRightInd/>
      <w:snapToGrid/>
      <w:spacing w:after="0" w:line="360" w:lineRule="auto"/>
      <w:ind w:firstLine="420"/>
      <w:jc w:val="both"/>
    </w:pPr>
    <w:rPr>
      <w:rFonts w:ascii="Calibri" w:hAnsi="Calibri"/>
      <w:kern w:val="2"/>
      <w:sz w:val="24"/>
      <w:szCs w:val="24"/>
    </w:rPr>
  </w:style>
  <w:style w:type="paragraph" w:customStyle="1" w:styleId="29">
    <w:name w:val="_Style 1"/>
    <w:basedOn w:val="1"/>
    <w:qFormat/>
    <w:uiPriority w:val="34"/>
    <w:pPr>
      <w:ind w:firstLine="420" w:firstLineChars="200"/>
    </w:pPr>
  </w:style>
  <w:style w:type="paragraph" w:customStyle="1" w:styleId="30">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font112"/>
    <w:basedOn w:val="18"/>
    <w:qFormat/>
    <w:uiPriority w:val="0"/>
    <w:rPr>
      <w:rFonts w:hint="eastAsia" w:ascii="宋体" w:hAnsi="宋体" w:eastAsia="宋体" w:cs="宋体"/>
      <w:color w:val="FF0000"/>
      <w:sz w:val="12"/>
      <w:szCs w:val="12"/>
      <w:u w:val="none"/>
    </w:rPr>
  </w:style>
  <w:style w:type="character" w:customStyle="1" w:styleId="33">
    <w:name w:val="font31"/>
    <w:basedOn w:val="18"/>
    <w:qFormat/>
    <w:uiPriority w:val="0"/>
    <w:rPr>
      <w:rFonts w:hint="eastAsia" w:ascii="仿宋" w:hAnsi="仿宋" w:eastAsia="仿宋" w:cs="仿宋"/>
      <w:color w:val="FF0000"/>
      <w:sz w:val="21"/>
      <w:szCs w:val="21"/>
      <w:u w:val="none"/>
    </w:rPr>
  </w:style>
  <w:style w:type="character" w:customStyle="1" w:styleId="34">
    <w:name w:val="font11"/>
    <w:basedOn w:val="18"/>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13</Pages>
  <Words>5439</Words>
  <Characters>5599</Characters>
  <Lines>0</Lines>
  <Paragraphs>0</Paragraphs>
  <TotalTime>14</TotalTime>
  <ScaleCrop>false</ScaleCrop>
  <LinksUpToDate>false</LinksUpToDate>
  <CharactersWithSpaces>5797</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2018-10-30T02:17:00Z</dcterms:created>
  <dc:creator>于金玉</dc:creator>
  <cp:lastModifiedBy>ASUS</cp:lastModifiedBy>
  <cp:lastPrinted>2026-05-12T01:58:00Z</cp:lastPrinted>
  <dcterms:modified xsi:type="dcterms:W3CDTF">2026-07-31T00:47:45Z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80E08B3370234C05891E4A8A8E2A77BA_13</vt:lpwstr>
  </property>
  <property fmtid="{D5CDD505-2E9C-101B-9397-08002B2CF9AE}" pid="4" name="KSOTemplateDocerSaveRecord">
    <vt:lpwstr>eyJoZGlkIjoiYWViN2VmZThjMzNiOWMyOWMxMTEwM2ZiOGYwYzY1NzgiLCJ1c2VySWQiOiI2MDAwMDI4NzcifQ==</vt:lpwstr>
  </property>
</Properties>
</file>